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315A6" w14:textId="3FD8C726" w:rsidR="005A1D50" w:rsidRPr="009132AA" w:rsidRDefault="005A1D50" w:rsidP="005A1D50">
      <w:pPr>
        <w:jc w:val="right"/>
        <w:rPr>
          <w:rFonts w:ascii="Verdana" w:hAnsi="Verdana"/>
          <w:sz w:val="20"/>
          <w:szCs w:val="20"/>
        </w:rPr>
      </w:pPr>
      <w:r w:rsidRPr="009132AA">
        <w:rPr>
          <w:rFonts w:ascii="Verdana" w:hAnsi="Verdana"/>
          <w:sz w:val="20"/>
          <w:szCs w:val="20"/>
        </w:rPr>
        <w:t>COMUNICATO STAMPA</w:t>
      </w:r>
    </w:p>
    <w:p w14:paraId="7A5CCB67" w14:textId="54F41D03" w:rsidR="00C550BE" w:rsidRPr="0023280E" w:rsidRDefault="00C550BE" w:rsidP="005A1D50">
      <w:pPr>
        <w:jc w:val="right"/>
        <w:rPr>
          <w:rFonts w:ascii="Verdana" w:hAnsi="Verdana"/>
          <w:sz w:val="26"/>
          <w:szCs w:val="26"/>
        </w:rPr>
      </w:pPr>
    </w:p>
    <w:p w14:paraId="406F73A8" w14:textId="77777777" w:rsidR="008F6769" w:rsidRPr="00A604E1" w:rsidRDefault="008F6769" w:rsidP="008F6769">
      <w:pPr>
        <w:spacing w:afterLines="80" w:after="192" w:line="245" w:lineRule="auto"/>
        <w:jc w:val="center"/>
        <w:rPr>
          <w:rFonts w:ascii="Calibri" w:hAnsi="Calibri" w:cs="Calibri"/>
          <w:b/>
          <w:bCs/>
          <w:color w:val="0070C0"/>
          <w:sz w:val="28"/>
          <w:szCs w:val="28"/>
        </w:rPr>
      </w:pPr>
      <w:r w:rsidRPr="00A604E1">
        <w:rPr>
          <w:rFonts w:ascii="Calibri" w:hAnsi="Calibri" w:cs="Calibri"/>
          <w:b/>
          <w:bCs/>
          <w:color w:val="0070C0"/>
          <w:sz w:val="28"/>
          <w:szCs w:val="28"/>
        </w:rPr>
        <w:t>IL MERCATO DEL BIO IN ITAL</w:t>
      </w:r>
      <w:r>
        <w:rPr>
          <w:rFonts w:ascii="Calibri" w:hAnsi="Calibri" w:cs="Calibri"/>
          <w:b/>
          <w:bCs/>
          <w:color w:val="0070C0"/>
          <w:sz w:val="28"/>
          <w:szCs w:val="28"/>
        </w:rPr>
        <w:t>IA</w:t>
      </w:r>
      <w:r w:rsidRPr="00A604E1">
        <w:rPr>
          <w:rFonts w:ascii="Calibri" w:hAnsi="Calibri" w:cs="Calibri"/>
          <w:b/>
          <w:bCs/>
          <w:color w:val="0070C0"/>
          <w:sz w:val="28"/>
          <w:szCs w:val="28"/>
        </w:rPr>
        <w:t>: D</w:t>
      </w:r>
      <w:r>
        <w:rPr>
          <w:rFonts w:ascii="Calibri" w:hAnsi="Calibri" w:cs="Calibri"/>
          <w:b/>
          <w:bCs/>
          <w:color w:val="0070C0"/>
          <w:sz w:val="28"/>
          <w:szCs w:val="28"/>
        </w:rPr>
        <w:t>ATI, TREND E PREFERENZE DI CONSUMO</w:t>
      </w:r>
    </w:p>
    <w:p w14:paraId="0EB4BA78" w14:textId="70C271FE" w:rsidR="008F6769" w:rsidRPr="00A604E1" w:rsidRDefault="008F6769" w:rsidP="008F6769">
      <w:pPr>
        <w:spacing w:afterLines="80" w:after="192" w:line="245" w:lineRule="auto"/>
        <w:jc w:val="both"/>
        <w:rPr>
          <w:rFonts w:ascii="Calibri" w:eastAsia="Times New Roman" w:hAnsi="Calibri" w:cs="Calibri"/>
          <w:i/>
          <w:iCs/>
          <w:lang w:eastAsia="it-IT"/>
        </w:rPr>
      </w:pPr>
      <w:r w:rsidRPr="00A604E1">
        <w:rPr>
          <w:rFonts w:ascii="Calibri" w:eastAsia="Times New Roman" w:hAnsi="Calibri" w:cs="Calibri"/>
          <w:i/>
          <w:iCs/>
          <w:lang w:eastAsia="it-IT"/>
        </w:rPr>
        <w:t xml:space="preserve">Nomisma </w:t>
      </w:r>
      <w:r w:rsidR="0011061B" w:rsidRPr="009132AA">
        <w:rPr>
          <w:rFonts w:ascii="Calibri" w:eastAsia="Times New Roman" w:hAnsi="Calibri" w:cs="Calibri"/>
          <w:i/>
          <w:iCs/>
          <w:lang w:eastAsia="it-IT"/>
        </w:rPr>
        <w:t xml:space="preserve">presenta a BIOFACH 2024 </w:t>
      </w:r>
      <w:r w:rsidRPr="009132AA">
        <w:rPr>
          <w:rFonts w:ascii="Calibri" w:eastAsia="Times New Roman" w:hAnsi="Calibri" w:cs="Calibri"/>
          <w:i/>
          <w:iCs/>
          <w:lang w:eastAsia="it-IT"/>
        </w:rPr>
        <w:t xml:space="preserve">i risultati dell'indagine di mercato realizzata nell'ambito del progetto </w:t>
      </w:r>
      <w:proofErr w:type="spellStart"/>
      <w:r w:rsidRPr="009132AA">
        <w:rPr>
          <w:rFonts w:ascii="Calibri" w:eastAsia="Times New Roman" w:hAnsi="Calibri" w:cs="Calibri"/>
          <w:i/>
          <w:iCs/>
          <w:lang w:eastAsia="it-IT"/>
        </w:rPr>
        <w:t>Being</w:t>
      </w:r>
      <w:proofErr w:type="spellEnd"/>
      <w:r w:rsidRPr="009132AA">
        <w:rPr>
          <w:rFonts w:ascii="Calibri" w:eastAsia="Times New Roman" w:hAnsi="Calibri" w:cs="Calibri"/>
          <w:i/>
          <w:iCs/>
          <w:lang w:eastAsia="it-IT"/>
        </w:rPr>
        <w:t xml:space="preserve"> </w:t>
      </w:r>
      <w:proofErr w:type="spellStart"/>
      <w:r w:rsidRPr="009132AA">
        <w:rPr>
          <w:rFonts w:ascii="Calibri" w:eastAsia="Times New Roman" w:hAnsi="Calibri" w:cs="Calibri"/>
          <w:i/>
          <w:iCs/>
          <w:lang w:eastAsia="it-IT"/>
        </w:rPr>
        <w:t>Organic</w:t>
      </w:r>
      <w:proofErr w:type="spellEnd"/>
      <w:r w:rsidRPr="009132AA">
        <w:rPr>
          <w:rFonts w:ascii="Calibri" w:eastAsia="Times New Roman" w:hAnsi="Calibri" w:cs="Calibri"/>
          <w:i/>
          <w:iCs/>
          <w:lang w:eastAsia="it-IT"/>
        </w:rPr>
        <w:t xml:space="preserve"> in Eu, promosso</w:t>
      </w:r>
      <w:r>
        <w:rPr>
          <w:rFonts w:ascii="Calibri" w:eastAsia="Times New Roman" w:hAnsi="Calibri" w:cs="Calibri"/>
          <w:i/>
          <w:iCs/>
          <w:lang w:eastAsia="it-IT"/>
        </w:rPr>
        <w:t xml:space="preserve"> da</w:t>
      </w:r>
      <w:r w:rsidRPr="00A604E1">
        <w:rPr>
          <w:rFonts w:ascii="Calibri" w:eastAsia="Times New Roman" w:hAnsi="Calibri" w:cs="Calibri"/>
          <w:i/>
          <w:iCs/>
          <w:lang w:eastAsia="it-IT"/>
        </w:rPr>
        <w:t xml:space="preserve"> FederBio in </w:t>
      </w:r>
      <w:r>
        <w:rPr>
          <w:rFonts w:ascii="Calibri" w:eastAsia="Times New Roman" w:hAnsi="Calibri" w:cs="Calibri"/>
          <w:i/>
          <w:iCs/>
          <w:lang w:eastAsia="it-IT"/>
        </w:rPr>
        <w:t>collaborazione</w:t>
      </w:r>
      <w:r w:rsidRPr="00A604E1">
        <w:rPr>
          <w:rFonts w:ascii="Calibri" w:eastAsia="Times New Roman" w:hAnsi="Calibri" w:cs="Calibri"/>
          <w:i/>
          <w:iCs/>
          <w:lang w:eastAsia="it-IT"/>
        </w:rPr>
        <w:t xml:space="preserve"> con </w:t>
      </w:r>
      <w:proofErr w:type="spellStart"/>
      <w:r w:rsidRPr="00A604E1">
        <w:rPr>
          <w:rFonts w:ascii="Calibri" w:eastAsia="Times New Roman" w:hAnsi="Calibri" w:cs="Calibri"/>
          <w:i/>
          <w:iCs/>
          <w:lang w:eastAsia="it-IT"/>
        </w:rPr>
        <w:t>Naturland</w:t>
      </w:r>
      <w:proofErr w:type="spellEnd"/>
      <w:r w:rsidRPr="00A604E1">
        <w:rPr>
          <w:rFonts w:ascii="Calibri" w:eastAsia="Times New Roman" w:hAnsi="Calibri" w:cs="Calibri"/>
          <w:i/>
          <w:iCs/>
          <w:lang w:eastAsia="it-IT"/>
        </w:rPr>
        <w:t xml:space="preserve"> DE e cofinanziato dalla UE ai sensi del Reg. UE. n.1144/2014.</w:t>
      </w:r>
    </w:p>
    <w:p w14:paraId="4662372E" w14:textId="77777777" w:rsidR="008F6769" w:rsidRPr="00A604E1" w:rsidRDefault="008F6769" w:rsidP="008F6769">
      <w:pPr>
        <w:spacing w:afterLines="80" w:after="192" w:line="245" w:lineRule="auto"/>
        <w:jc w:val="both"/>
        <w:rPr>
          <w:rFonts w:ascii="Calibri" w:eastAsia="Times New Roman" w:hAnsi="Calibri" w:cs="Calibri"/>
          <w:i/>
          <w:iCs/>
          <w:lang w:eastAsia="it-IT"/>
        </w:rPr>
      </w:pPr>
      <w:r w:rsidRPr="00A604E1">
        <w:rPr>
          <w:rFonts w:ascii="Calibri" w:eastAsia="Times New Roman" w:hAnsi="Calibri" w:cs="Calibri"/>
          <w:i/>
          <w:iCs/>
          <w:lang w:eastAsia="it-IT"/>
        </w:rPr>
        <w:t>Dall’indagine emerge che il settore biologico mantiene un ruolo chiave nella filiera agroalimentare con un mercato interno (consumi interni e fuori casa) che sfiora i 5,4 miliardi di euro e un export di prodotti biologici Made in Italy che raggiunge i 3,6 miliardi.</w:t>
      </w:r>
    </w:p>
    <w:p w14:paraId="0998E90A" w14:textId="77777777" w:rsidR="009132AA" w:rsidRDefault="009132AA" w:rsidP="008F6769">
      <w:pPr>
        <w:rPr>
          <w:rFonts w:ascii="Calibri" w:hAnsi="Calibri" w:cs="Calibri"/>
          <w:b/>
          <w:bCs/>
        </w:rPr>
      </w:pPr>
    </w:p>
    <w:p w14:paraId="40EBB248" w14:textId="63A9F13F" w:rsidR="008F6769" w:rsidRPr="00A604E1" w:rsidRDefault="008F6769" w:rsidP="008F6769">
      <w:pPr>
        <w:rPr>
          <w:rFonts w:ascii="Calibri" w:hAnsi="Calibri" w:cs="Calibri"/>
          <w:b/>
          <w:bCs/>
        </w:rPr>
      </w:pPr>
      <w:r w:rsidRPr="00A604E1">
        <w:rPr>
          <w:rFonts w:ascii="Calibri" w:hAnsi="Calibri" w:cs="Calibri"/>
          <w:b/>
          <w:bCs/>
        </w:rPr>
        <w:t>ITALIANI SEMPRE PIÙ ATTENTI A SCELTE ALIMENTARI SOSTENIBILI</w:t>
      </w:r>
    </w:p>
    <w:p w14:paraId="0045A21A" w14:textId="2875C0C4" w:rsidR="009132AA" w:rsidRDefault="008F6769" w:rsidP="009132AA">
      <w:pPr>
        <w:shd w:val="clear" w:color="auto" w:fill="FFFFFF"/>
        <w:spacing w:line="276" w:lineRule="auto"/>
        <w:jc w:val="both"/>
        <w:rPr>
          <w:rFonts w:ascii="Calibri" w:eastAsiaTheme="majorEastAsia" w:hAnsi="Calibri" w:cs="Calibri"/>
          <w:sz w:val="22"/>
          <w:szCs w:val="22"/>
          <w:lang w:eastAsia="it-IT"/>
        </w:rPr>
      </w:pPr>
      <w:r w:rsidRPr="009132AA">
        <w:rPr>
          <w:rFonts w:ascii="Calibri" w:eastAsiaTheme="majorEastAsia" w:hAnsi="Calibri" w:cs="Calibri"/>
          <w:sz w:val="22"/>
          <w:szCs w:val="22"/>
          <w:lang w:eastAsia="it-IT"/>
        </w:rPr>
        <w:t xml:space="preserve">Nel 2023 a cambiare è lo </w:t>
      </w:r>
      <w:r w:rsidRPr="009132AA">
        <w:rPr>
          <w:rFonts w:ascii="Calibri" w:eastAsiaTheme="majorEastAsia" w:hAnsi="Calibri" w:cs="Calibri"/>
          <w:b/>
          <w:bCs/>
          <w:sz w:val="22"/>
          <w:szCs w:val="22"/>
          <w:lang w:eastAsia="it-IT"/>
        </w:rPr>
        <w:t>scenario inflattivo</w:t>
      </w:r>
      <w:r w:rsidRPr="009132AA">
        <w:rPr>
          <w:rFonts w:ascii="Calibri" w:eastAsiaTheme="majorEastAsia" w:hAnsi="Calibri" w:cs="Calibri"/>
          <w:sz w:val="22"/>
          <w:szCs w:val="22"/>
          <w:lang w:eastAsia="it-IT"/>
        </w:rPr>
        <w:t xml:space="preserve">, con una dinamica in </w:t>
      </w:r>
      <w:r w:rsidRPr="009132AA">
        <w:rPr>
          <w:rFonts w:ascii="Calibri" w:eastAsiaTheme="majorEastAsia" w:hAnsi="Calibri" w:cs="Calibri"/>
          <w:b/>
          <w:bCs/>
          <w:sz w:val="22"/>
          <w:szCs w:val="22"/>
          <w:lang w:eastAsia="it-IT"/>
        </w:rPr>
        <w:t>progressivo rallentamento</w:t>
      </w:r>
      <w:r w:rsidRPr="009132AA">
        <w:rPr>
          <w:rFonts w:ascii="Calibri" w:eastAsiaTheme="majorEastAsia" w:hAnsi="Calibri" w:cs="Calibri"/>
          <w:sz w:val="22"/>
          <w:szCs w:val="22"/>
          <w:lang w:eastAsia="it-IT"/>
        </w:rPr>
        <w:t xml:space="preserve">: nel corso del 2023 la crescita dei prezzi è stata pari al 5,7%, in calo rispetto all’8,1% del 2022 ma con impatti ancora rilevanti sulle famiglie italiane (l’aggravio di costo per una famiglia con due figli è stato di almeno 1.600 euro, di cui oltre 700 euro afferenti alla componente alimentare). Situazione che, nonostante il rallentamento nella crescita dei prezzi, ha spinto gli italiani ad adottare </w:t>
      </w:r>
      <w:r w:rsidRPr="009132AA">
        <w:rPr>
          <w:rFonts w:ascii="Calibri" w:eastAsiaTheme="majorEastAsia" w:hAnsi="Calibri" w:cs="Calibri"/>
          <w:b/>
          <w:bCs/>
          <w:sz w:val="22"/>
          <w:szCs w:val="22"/>
          <w:lang w:eastAsia="it-IT"/>
        </w:rPr>
        <w:t>strategie di salvaguardia del potere di acquisto</w:t>
      </w:r>
      <w:r w:rsidRPr="009132AA">
        <w:rPr>
          <w:rFonts w:ascii="Calibri" w:eastAsiaTheme="majorEastAsia" w:hAnsi="Calibri" w:cs="Calibri"/>
          <w:sz w:val="22"/>
          <w:szCs w:val="22"/>
          <w:lang w:eastAsia="it-IT"/>
        </w:rPr>
        <w:t xml:space="preserve">. </w:t>
      </w:r>
    </w:p>
    <w:p w14:paraId="2F03C435" w14:textId="77777777" w:rsidR="009132AA" w:rsidRDefault="009132AA" w:rsidP="009132AA">
      <w:pPr>
        <w:shd w:val="clear" w:color="auto" w:fill="FFFFFF"/>
        <w:spacing w:line="276" w:lineRule="auto"/>
        <w:jc w:val="both"/>
        <w:rPr>
          <w:rFonts w:ascii="Calibri" w:eastAsiaTheme="majorEastAsia" w:hAnsi="Calibri" w:cs="Calibri"/>
          <w:sz w:val="22"/>
          <w:szCs w:val="22"/>
          <w:lang w:eastAsia="it-IT"/>
        </w:rPr>
      </w:pPr>
    </w:p>
    <w:p w14:paraId="1F58A7D7" w14:textId="3E8AED69" w:rsidR="009132AA" w:rsidRDefault="008F6769" w:rsidP="009132AA">
      <w:pPr>
        <w:shd w:val="clear" w:color="auto" w:fill="FFFFFF"/>
        <w:spacing w:line="276" w:lineRule="auto"/>
        <w:jc w:val="both"/>
        <w:rPr>
          <w:rFonts w:ascii="Calibri" w:eastAsiaTheme="majorEastAsia" w:hAnsi="Calibri" w:cs="Calibri"/>
          <w:sz w:val="22"/>
          <w:szCs w:val="22"/>
          <w:lang w:eastAsia="it-IT"/>
        </w:rPr>
      </w:pPr>
      <w:r w:rsidRPr="009132AA">
        <w:rPr>
          <w:rFonts w:ascii="Calibri" w:eastAsiaTheme="majorEastAsia" w:hAnsi="Calibri" w:cs="Calibri"/>
          <w:sz w:val="22"/>
          <w:szCs w:val="22"/>
          <w:lang w:eastAsia="it-IT"/>
        </w:rPr>
        <w:t>In questo contesto, circa 9 italiani su 10 hanno messo in atto strategie per gestire la spesa alimentare: nello specifico, il 71% ha rinunciato all’acquisto di prodotti superflui, il 64% ha effettuato la spesa guardando in primis alle promozioni mentre più di 6 italiani su 10 hanno acquistato prodotti a marchio del distributore.</w:t>
      </w:r>
    </w:p>
    <w:p w14:paraId="29444C4F" w14:textId="338563F6" w:rsidR="009132AA" w:rsidRDefault="008F6769" w:rsidP="009132AA">
      <w:pPr>
        <w:shd w:val="clear" w:color="auto" w:fill="FFFFFF"/>
        <w:spacing w:line="276" w:lineRule="auto"/>
        <w:jc w:val="both"/>
        <w:rPr>
          <w:rFonts w:ascii="Calibri" w:eastAsiaTheme="majorEastAsia" w:hAnsi="Calibri" w:cs="Calibri"/>
          <w:sz w:val="22"/>
          <w:szCs w:val="22"/>
          <w:lang w:eastAsia="it-IT"/>
        </w:rPr>
      </w:pPr>
      <w:r w:rsidRPr="009132AA">
        <w:rPr>
          <w:rFonts w:ascii="Calibri" w:eastAsiaTheme="majorEastAsia" w:hAnsi="Calibri" w:cs="Calibri"/>
          <w:sz w:val="22"/>
          <w:szCs w:val="22"/>
          <w:lang w:eastAsia="it-IT"/>
        </w:rPr>
        <w:t xml:space="preserve">Nonostante questo quadro non favorevole, che ha caratterizzato l’anno appena concluso, </w:t>
      </w:r>
      <w:r w:rsidRPr="009132AA">
        <w:rPr>
          <w:rFonts w:ascii="Calibri" w:eastAsiaTheme="majorEastAsia" w:hAnsi="Calibri" w:cs="Calibri"/>
          <w:b/>
          <w:bCs/>
          <w:sz w:val="22"/>
          <w:szCs w:val="22"/>
          <w:lang w:eastAsia="it-IT"/>
        </w:rPr>
        <w:t>per il 2024 sembrano migliorare le intenzioni di spesa degli italiani sui consumi alimentari domestici</w:t>
      </w:r>
      <w:r w:rsidRPr="009132AA">
        <w:rPr>
          <w:rFonts w:ascii="Calibri" w:eastAsiaTheme="majorEastAsia" w:hAnsi="Calibri" w:cs="Calibri"/>
          <w:sz w:val="22"/>
          <w:szCs w:val="22"/>
          <w:lang w:eastAsia="it-IT"/>
        </w:rPr>
        <w:t xml:space="preserve">: la percentuale di quanti intendono aumentare le quantità consumate (16% del totale) supera infatti quella di quanti intendono ridurre i consumi (12%), con una tendenza in miglioramento considerando che la stessa differenza era di -1 punto percentuale nel monitoraggio realizzato ad agosto 2023. </w:t>
      </w:r>
    </w:p>
    <w:p w14:paraId="65F6436C" w14:textId="77777777" w:rsidR="009132AA" w:rsidRDefault="009132AA" w:rsidP="009132AA">
      <w:pPr>
        <w:shd w:val="clear" w:color="auto" w:fill="FFFFFF"/>
        <w:spacing w:line="276" w:lineRule="auto"/>
        <w:jc w:val="both"/>
        <w:rPr>
          <w:rFonts w:ascii="Calibri" w:eastAsiaTheme="majorEastAsia" w:hAnsi="Calibri" w:cs="Calibri"/>
          <w:sz w:val="22"/>
          <w:szCs w:val="22"/>
          <w:lang w:eastAsia="it-IT"/>
        </w:rPr>
      </w:pPr>
    </w:p>
    <w:p w14:paraId="2D235471" w14:textId="0A687FAA" w:rsidR="008F6769" w:rsidRPr="009132AA" w:rsidRDefault="008F6769" w:rsidP="009132AA">
      <w:pPr>
        <w:shd w:val="clear" w:color="auto" w:fill="FFFFFF"/>
        <w:spacing w:line="276" w:lineRule="auto"/>
        <w:jc w:val="both"/>
        <w:rPr>
          <w:rFonts w:ascii="Calibri" w:eastAsiaTheme="majorEastAsia" w:hAnsi="Calibri" w:cs="Calibri"/>
          <w:sz w:val="22"/>
          <w:szCs w:val="22"/>
          <w:lang w:eastAsia="it-IT"/>
        </w:rPr>
      </w:pPr>
      <w:r w:rsidRPr="009132AA">
        <w:rPr>
          <w:rFonts w:ascii="Calibri" w:eastAsiaTheme="majorEastAsia" w:hAnsi="Calibri" w:cs="Calibri"/>
          <w:sz w:val="22"/>
          <w:szCs w:val="22"/>
          <w:lang w:eastAsia="it-IT"/>
        </w:rPr>
        <w:t xml:space="preserve">Non solo si torna a rimpinguare il carrello della spesa ma la </w:t>
      </w:r>
      <w:r w:rsidRPr="009132AA">
        <w:rPr>
          <w:rFonts w:ascii="Calibri" w:eastAsiaTheme="majorEastAsia" w:hAnsi="Calibri" w:cs="Calibri"/>
          <w:b/>
          <w:bCs/>
          <w:sz w:val="22"/>
          <w:szCs w:val="22"/>
          <w:lang w:eastAsia="it-IT"/>
        </w:rPr>
        <w:t>tavola degli italiani</w:t>
      </w:r>
      <w:r w:rsidRPr="009132AA">
        <w:rPr>
          <w:rFonts w:ascii="Calibri" w:eastAsiaTheme="majorEastAsia" w:hAnsi="Calibri" w:cs="Calibri"/>
          <w:sz w:val="22"/>
          <w:szCs w:val="22"/>
          <w:lang w:eastAsia="it-IT"/>
        </w:rPr>
        <w:t xml:space="preserve"> </w:t>
      </w:r>
      <w:r w:rsidRPr="009132AA">
        <w:rPr>
          <w:rFonts w:ascii="Calibri" w:eastAsiaTheme="majorEastAsia" w:hAnsi="Calibri" w:cs="Calibri"/>
          <w:b/>
          <w:bCs/>
          <w:sz w:val="22"/>
          <w:szCs w:val="22"/>
          <w:lang w:eastAsia="it-IT"/>
        </w:rPr>
        <w:t>nel 2024</w:t>
      </w:r>
      <w:r w:rsidRPr="009132AA">
        <w:rPr>
          <w:rFonts w:ascii="Calibri" w:eastAsiaTheme="majorEastAsia" w:hAnsi="Calibri" w:cs="Calibri"/>
          <w:sz w:val="22"/>
          <w:szCs w:val="22"/>
          <w:lang w:eastAsia="it-IT"/>
        </w:rPr>
        <w:t xml:space="preserve"> non solo </w:t>
      </w:r>
      <w:r w:rsidRPr="009132AA">
        <w:rPr>
          <w:rFonts w:ascii="Calibri" w:eastAsiaTheme="majorEastAsia" w:hAnsi="Calibri" w:cs="Calibri"/>
          <w:b/>
          <w:bCs/>
          <w:sz w:val="22"/>
          <w:szCs w:val="22"/>
          <w:lang w:eastAsia="it-IT"/>
        </w:rPr>
        <w:t>deve essere</w:t>
      </w:r>
      <w:r w:rsidRPr="009132AA">
        <w:rPr>
          <w:rFonts w:ascii="Calibri" w:eastAsiaTheme="majorEastAsia" w:hAnsi="Calibri" w:cs="Calibri"/>
          <w:sz w:val="22"/>
          <w:szCs w:val="22"/>
          <w:lang w:eastAsia="it-IT"/>
        </w:rPr>
        <w:t xml:space="preserve"> </w:t>
      </w:r>
      <w:r w:rsidRPr="009132AA">
        <w:rPr>
          <w:rFonts w:ascii="Calibri" w:eastAsiaTheme="majorEastAsia" w:hAnsi="Calibri" w:cs="Calibri"/>
          <w:b/>
          <w:bCs/>
          <w:sz w:val="22"/>
          <w:szCs w:val="22"/>
          <w:lang w:eastAsia="it-IT"/>
        </w:rPr>
        <w:t>conveniente</w:t>
      </w:r>
      <w:r w:rsidRPr="009132AA">
        <w:rPr>
          <w:rFonts w:ascii="Calibri" w:eastAsiaTheme="majorEastAsia" w:hAnsi="Calibri" w:cs="Calibri"/>
          <w:sz w:val="22"/>
          <w:szCs w:val="22"/>
          <w:lang w:eastAsia="it-IT"/>
        </w:rPr>
        <w:t xml:space="preserve"> ma deve anche garantire alcuni requisiti fondamentali: essere </w:t>
      </w:r>
      <w:r w:rsidRPr="009132AA">
        <w:rPr>
          <w:rFonts w:ascii="Calibri" w:eastAsiaTheme="majorEastAsia" w:hAnsi="Calibri" w:cs="Calibri"/>
          <w:b/>
          <w:bCs/>
          <w:sz w:val="22"/>
          <w:szCs w:val="22"/>
          <w:lang w:eastAsia="it-IT"/>
        </w:rPr>
        <w:t>salutare, tradizionale, a basso impatto ambientale, semplice, essenziale</w:t>
      </w:r>
      <w:r w:rsidRPr="009132AA">
        <w:rPr>
          <w:rFonts w:ascii="Calibri" w:eastAsiaTheme="majorEastAsia" w:hAnsi="Calibri" w:cs="Calibri"/>
          <w:sz w:val="22"/>
          <w:szCs w:val="22"/>
          <w:lang w:eastAsia="it-IT"/>
        </w:rPr>
        <w:t>.  Segnale ulteriore che sia in atto una inversione di tendenza nel carrello della spesa degli italiani è dato dal fatto che l’</w:t>
      </w:r>
      <w:r w:rsidRPr="009132AA">
        <w:rPr>
          <w:rFonts w:ascii="Calibri" w:eastAsiaTheme="majorEastAsia" w:hAnsi="Calibri" w:cs="Calibri"/>
          <w:b/>
          <w:bCs/>
          <w:sz w:val="22"/>
          <w:szCs w:val="22"/>
          <w:lang w:eastAsia="it-IT"/>
        </w:rPr>
        <w:t>ortofrutta</w:t>
      </w:r>
      <w:r w:rsidRPr="009132AA">
        <w:rPr>
          <w:rFonts w:ascii="Calibri" w:eastAsiaTheme="majorEastAsia" w:hAnsi="Calibri" w:cs="Calibri"/>
          <w:sz w:val="22"/>
          <w:szCs w:val="22"/>
          <w:lang w:eastAsia="it-IT"/>
        </w:rPr>
        <w:t xml:space="preserve">, dopo le rinunce registrate nel periodo estivo, è ora tra i prodotti con </w:t>
      </w:r>
      <w:r w:rsidRPr="009132AA">
        <w:rPr>
          <w:rFonts w:ascii="Calibri" w:eastAsiaTheme="majorEastAsia" w:hAnsi="Calibri" w:cs="Calibri"/>
          <w:b/>
          <w:bCs/>
          <w:sz w:val="22"/>
          <w:szCs w:val="22"/>
          <w:lang w:eastAsia="it-IT"/>
        </w:rPr>
        <w:t>maggiore</w:t>
      </w:r>
      <w:r w:rsidRPr="009132AA">
        <w:rPr>
          <w:rFonts w:ascii="Calibri" w:eastAsiaTheme="majorEastAsia" w:hAnsi="Calibri" w:cs="Calibri"/>
          <w:sz w:val="22"/>
          <w:szCs w:val="22"/>
          <w:lang w:eastAsia="it-IT"/>
        </w:rPr>
        <w:t xml:space="preserve"> </w:t>
      </w:r>
      <w:r w:rsidRPr="009132AA">
        <w:rPr>
          <w:rFonts w:ascii="Calibri" w:eastAsiaTheme="majorEastAsia" w:hAnsi="Calibri" w:cs="Calibri"/>
          <w:b/>
          <w:bCs/>
          <w:sz w:val="22"/>
          <w:szCs w:val="22"/>
          <w:lang w:eastAsia="it-IT"/>
        </w:rPr>
        <w:t>incremento nelle vendite</w:t>
      </w:r>
      <w:r w:rsidRPr="009132AA">
        <w:rPr>
          <w:rFonts w:ascii="Calibri" w:eastAsiaTheme="majorEastAsia" w:hAnsi="Calibri" w:cs="Calibri"/>
          <w:sz w:val="22"/>
          <w:szCs w:val="22"/>
          <w:lang w:eastAsia="it-IT"/>
        </w:rPr>
        <w:t>.</w:t>
      </w:r>
    </w:p>
    <w:p w14:paraId="3F6B3630" w14:textId="77777777" w:rsidR="008F6769" w:rsidRPr="003433E6" w:rsidRDefault="008F6769" w:rsidP="008F6769">
      <w:pPr>
        <w:shd w:val="clear" w:color="auto" w:fill="FFFFFF"/>
        <w:spacing w:line="245" w:lineRule="auto"/>
        <w:jc w:val="both"/>
        <w:rPr>
          <w:rFonts w:ascii="Calibri" w:eastAsiaTheme="majorEastAsia" w:hAnsi="Calibri" w:cs="Calibri"/>
          <w:sz w:val="21"/>
          <w:szCs w:val="21"/>
          <w:lang w:eastAsia="it-IT"/>
        </w:rPr>
      </w:pPr>
    </w:p>
    <w:p w14:paraId="0F0A9FB0" w14:textId="77777777" w:rsidR="008F6769" w:rsidRPr="003433E6" w:rsidRDefault="008F6769" w:rsidP="008F6769">
      <w:pPr>
        <w:shd w:val="clear" w:color="auto" w:fill="FFFFFF"/>
        <w:spacing w:after="360" w:line="276" w:lineRule="auto"/>
        <w:jc w:val="both"/>
        <w:rPr>
          <w:rFonts w:ascii="Calibri" w:eastAsiaTheme="majorEastAsia" w:hAnsi="Calibri" w:cs="Calibri"/>
          <w:i/>
          <w:iCs/>
          <w:sz w:val="16"/>
          <w:szCs w:val="16"/>
          <w:lang w:eastAsia="it-IT"/>
        </w:rPr>
      </w:pPr>
      <w:r w:rsidRPr="003433E6">
        <w:rPr>
          <w:rFonts w:ascii="Calibri" w:eastAsiaTheme="majorEastAsia" w:hAnsi="Calibri" w:cs="Calibri"/>
          <w:i/>
          <w:iCs/>
          <w:noProof/>
          <w:sz w:val="16"/>
          <w:szCs w:val="16"/>
          <w:lang w:eastAsia="it-IT"/>
        </w:rPr>
        <w:lastRenderedPageBreak/>
        <w:drawing>
          <wp:inline distT="0" distB="0" distL="0" distR="0" wp14:anchorId="42FAC1B0" wp14:editId="47E142E4">
            <wp:extent cx="5779339" cy="3232150"/>
            <wp:effectExtent l="0" t="0" r="0" b="6350"/>
            <wp:docPr id="150489072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0721" name=""/>
                    <pic:cNvPicPr/>
                  </pic:nvPicPr>
                  <pic:blipFill>
                    <a:blip r:embed="rId8"/>
                    <a:stretch>
                      <a:fillRect/>
                    </a:stretch>
                  </pic:blipFill>
                  <pic:spPr>
                    <a:xfrm>
                      <a:off x="0" y="0"/>
                      <a:ext cx="5788903" cy="3237499"/>
                    </a:xfrm>
                    <a:prstGeom prst="rect">
                      <a:avLst/>
                    </a:prstGeom>
                  </pic:spPr>
                </pic:pic>
              </a:graphicData>
            </a:graphic>
          </wp:inline>
        </w:drawing>
      </w:r>
      <w:r>
        <w:rPr>
          <w:rFonts w:ascii="Calibri" w:eastAsiaTheme="majorEastAsia" w:hAnsi="Calibri" w:cs="Calibri"/>
          <w:i/>
          <w:iCs/>
          <w:sz w:val="16"/>
          <w:szCs w:val="16"/>
          <w:lang w:eastAsia="it-IT"/>
        </w:rPr>
        <w:br/>
      </w:r>
      <w:r w:rsidRPr="00A604E1">
        <w:rPr>
          <w:rFonts w:ascii="Calibri" w:eastAsiaTheme="majorEastAsia" w:hAnsi="Calibri" w:cs="Calibri"/>
          <w:i/>
          <w:iCs/>
          <w:sz w:val="16"/>
          <w:szCs w:val="16"/>
          <w:lang w:eastAsia="it-IT"/>
        </w:rPr>
        <w:t>Fonte: Nomisma per BIOFACH – Consumer Survey</w:t>
      </w:r>
    </w:p>
    <w:p w14:paraId="259CEB05" w14:textId="77777777" w:rsidR="008F6769" w:rsidRPr="009132AA" w:rsidRDefault="008F6769" w:rsidP="009132AA">
      <w:pPr>
        <w:shd w:val="clear" w:color="auto" w:fill="FFFFFF"/>
        <w:spacing w:line="276" w:lineRule="auto"/>
        <w:jc w:val="both"/>
        <w:rPr>
          <w:rFonts w:ascii="Calibri" w:eastAsiaTheme="majorEastAsia" w:hAnsi="Calibri" w:cs="Calibri"/>
          <w:sz w:val="22"/>
          <w:szCs w:val="22"/>
          <w:lang w:eastAsia="it-IT"/>
        </w:rPr>
      </w:pPr>
      <w:r w:rsidRPr="009132AA">
        <w:rPr>
          <w:rFonts w:ascii="Calibri" w:eastAsiaTheme="majorEastAsia" w:hAnsi="Calibri" w:cs="Calibri"/>
          <w:sz w:val="22"/>
          <w:szCs w:val="22"/>
          <w:lang w:eastAsia="it-IT"/>
        </w:rPr>
        <w:t xml:space="preserve">In questo scenario complesso, la </w:t>
      </w:r>
      <w:r w:rsidRPr="009132AA">
        <w:rPr>
          <w:rFonts w:ascii="Calibri" w:eastAsiaTheme="majorEastAsia" w:hAnsi="Calibri" w:cs="Calibri"/>
          <w:b/>
          <w:bCs/>
          <w:sz w:val="22"/>
          <w:szCs w:val="22"/>
          <w:lang w:eastAsia="it-IT"/>
        </w:rPr>
        <w:t>sostenibilità</w:t>
      </w:r>
      <w:r w:rsidRPr="009132AA">
        <w:rPr>
          <w:rFonts w:ascii="Calibri" w:eastAsiaTheme="majorEastAsia" w:hAnsi="Calibri" w:cs="Calibri"/>
          <w:sz w:val="22"/>
          <w:szCs w:val="22"/>
          <w:lang w:eastAsia="it-IT"/>
        </w:rPr>
        <w:t xml:space="preserve"> e l’</w:t>
      </w:r>
      <w:r w:rsidRPr="009132AA">
        <w:rPr>
          <w:rFonts w:ascii="Calibri" w:eastAsiaTheme="majorEastAsia" w:hAnsi="Calibri" w:cs="Calibri"/>
          <w:b/>
          <w:bCs/>
          <w:sz w:val="22"/>
          <w:szCs w:val="22"/>
          <w:lang w:eastAsia="it-IT"/>
        </w:rPr>
        <w:t xml:space="preserve">attenzione all’ambiente </w:t>
      </w:r>
      <w:r w:rsidRPr="009132AA">
        <w:rPr>
          <w:rFonts w:ascii="Calibri" w:eastAsiaTheme="majorEastAsia" w:hAnsi="Calibri" w:cs="Calibri"/>
          <w:sz w:val="22"/>
          <w:szCs w:val="22"/>
          <w:lang w:eastAsia="it-IT"/>
        </w:rPr>
        <w:t xml:space="preserve">rappresentano quindi fattori determinanti dei comportamenti di acquisto. Al riguardo, negli ultimi 5 anni 1 italiano su 2 ha dichiarato di adottare con maggiore frequenza scelte di consumo più sostenibili. Queste abitudini riflettono un maggiore impegno nel ridurre l’impatto climatico delle proprie azioni anche nel carrello della spesa: 2 italiani su 3 hanno infatti dichiarato di prestare maggiore attenzione all’acquisto di prodotti alimentari e bevande con caratteristiche di sostenibilità. </w:t>
      </w:r>
    </w:p>
    <w:p w14:paraId="0FF0EE9E" w14:textId="77777777" w:rsidR="008F6769" w:rsidRPr="00A604E1" w:rsidRDefault="008F6769" w:rsidP="008F6769">
      <w:pPr>
        <w:shd w:val="clear" w:color="auto" w:fill="FFFFFF"/>
        <w:jc w:val="both"/>
        <w:rPr>
          <w:rFonts w:ascii="Calibri" w:eastAsiaTheme="majorEastAsia" w:hAnsi="Calibri" w:cs="Calibri"/>
          <w:lang w:eastAsia="it-IT"/>
        </w:rPr>
      </w:pPr>
    </w:p>
    <w:p w14:paraId="28FEE809" w14:textId="77777777" w:rsidR="008F6769" w:rsidRPr="00A604E1" w:rsidRDefault="008F6769" w:rsidP="008F6769">
      <w:pPr>
        <w:jc w:val="both"/>
        <w:rPr>
          <w:rFonts w:ascii="Calibri" w:hAnsi="Calibri" w:cs="Calibri"/>
          <w:b/>
          <w:bCs/>
          <w:lang w:eastAsia="it-IT"/>
        </w:rPr>
      </w:pPr>
      <w:r w:rsidRPr="00A604E1">
        <w:rPr>
          <w:rFonts w:ascii="Calibri" w:hAnsi="Calibri" w:cs="Calibri"/>
          <w:b/>
          <w:bCs/>
          <w:lang w:eastAsia="it-IT"/>
        </w:rPr>
        <w:t>LE DIMENSIONI DEL MERCATO BIO ITALIANO</w:t>
      </w:r>
    </w:p>
    <w:p w14:paraId="5618636E" w14:textId="77777777" w:rsidR="008F6769" w:rsidRPr="00A604E1" w:rsidRDefault="008F6769" w:rsidP="008F6769">
      <w:pPr>
        <w:keepNext/>
        <w:tabs>
          <w:tab w:val="num" w:pos="1188"/>
          <w:tab w:val="center" w:pos="4252"/>
          <w:tab w:val="left" w:pos="5484"/>
        </w:tabs>
        <w:spacing w:before="120"/>
        <w:jc w:val="both"/>
        <w:outlineLvl w:val="1"/>
        <w:rPr>
          <w:rFonts w:ascii="Calibri" w:eastAsia="Times New Roman" w:hAnsi="Calibri" w:cs="Calibri"/>
          <w:b/>
          <w:caps/>
          <w:color w:val="0070C0"/>
          <w:lang w:eastAsia="it-IT"/>
        </w:rPr>
      </w:pPr>
      <w:r w:rsidRPr="00A604E1">
        <w:rPr>
          <w:rFonts w:ascii="Calibri" w:eastAsia="Times New Roman" w:hAnsi="Calibri" w:cs="Calibri"/>
          <w:b/>
          <w:caps/>
          <w:color w:val="0070C0"/>
          <w:lang w:eastAsia="it-IT"/>
        </w:rPr>
        <w:t>SUPERFICI E OPERATORI</w:t>
      </w:r>
    </w:p>
    <w:p w14:paraId="00AB5BB7" w14:textId="77777777" w:rsidR="008F6769" w:rsidRPr="009132AA" w:rsidRDefault="008F6769" w:rsidP="009132AA">
      <w:pPr>
        <w:spacing w:line="276" w:lineRule="auto"/>
        <w:jc w:val="both"/>
        <w:rPr>
          <w:rFonts w:ascii="Calibri" w:hAnsi="Calibri" w:cs="Calibri"/>
          <w:sz w:val="22"/>
          <w:szCs w:val="22"/>
          <w:lang w:eastAsia="it-IT"/>
        </w:rPr>
      </w:pPr>
      <w:r w:rsidRPr="009132AA">
        <w:rPr>
          <w:rFonts w:ascii="Calibri" w:hAnsi="Calibri" w:cs="Calibri"/>
          <w:sz w:val="22"/>
          <w:szCs w:val="22"/>
          <w:lang w:eastAsia="it-IT"/>
        </w:rPr>
        <w:t xml:space="preserve">L’Italia, con oltre 2 milioni di ettari, è </w:t>
      </w:r>
      <w:r w:rsidRPr="009132AA">
        <w:rPr>
          <w:rFonts w:ascii="Calibri" w:hAnsi="Calibri" w:cs="Calibri"/>
          <w:b/>
          <w:bCs/>
          <w:sz w:val="22"/>
          <w:szCs w:val="22"/>
          <w:lang w:eastAsia="it-IT"/>
        </w:rPr>
        <w:t>leader del settore biologico</w:t>
      </w:r>
      <w:r w:rsidRPr="009132AA">
        <w:rPr>
          <w:rFonts w:ascii="Calibri" w:hAnsi="Calibri" w:cs="Calibri"/>
          <w:sz w:val="22"/>
          <w:szCs w:val="22"/>
          <w:lang w:eastAsia="it-IT"/>
        </w:rPr>
        <w:t xml:space="preserve">: vanta la </w:t>
      </w:r>
      <w:r w:rsidRPr="009132AA">
        <w:rPr>
          <w:rFonts w:ascii="Calibri" w:hAnsi="Calibri" w:cs="Calibri"/>
          <w:b/>
          <w:bCs/>
          <w:sz w:val="22"/>
          <w:szCs w:val="22"/>
          <w:lang w:eastAsia="it-IT"/>
        </w:rPr>
        <w:t xml:space="preserve">più alta percentuale di superfici </w:t>
      </w:r>
      <w:proofErr w:type="spellStart"/>
      <w:r w:rsidRPr="009132AA">
        <w:rPr>
          <w:rFonts w:ascii="Calibri" w:hAnsi="Calibri" w:cs="Calibri"/>
          <w:b/>
          <w:bCs/>
          <w:sz w:val="22"/>
          <w:szCs w:val="22"/>
          <w:lang w:eastAsia="it-IT"/>
        </w:rPr>
        <w:t>bio</w:t>
      </w:r>
      <w:proofErr w:type="spellEnd"/>
      <w:r w:rsidRPr="009132AA">
        <w:rPr>
          <w:rFonts w:ascii="Calibri" w:hAnsi="Calibri" w:cs="Calibri"/>
          <w:b/>
          <w:bCs/>
          <w:sz w:val="22"/>
          <w:szCs w:val="22"/>
          <w:lang w:eastAsia="it-IT"/>
        </w:rPr>
        <w:t xml:space="preserve"> sul totale, il 19%</w:t>
      </w:r>
      <w:r w:rsidRPr="009132AA">
        <w:rPr>
          <w:rFonts w:ascii="Calibri" w:hAnsi="Calibri" w:cs="Calibri"/>
          <w:sz w:val="22"/>
          <w:szCs w:val="22"/>
          <w:lang w:eastAsia="it-IT"/>
        </w:rPr>
        <w:t xml:space="preserve"> contro l’11% della Germania e della Spagna, e il 10% della Francia e detiene il primato in UE per numero di produttori biologici.  </w:t>
      </w:r>
    </w:p>
    <w:p w14:paraId="48EA2C69" w14:textId="77777777" w:rsidR="008F6769" w:rsidRPr="00A604E1" w:rsidRDefault="008F6769" w:rsidP="008F6769">
      <w:pPr>
        <w:keepNext/>
        <w:tabs>
          <w:tab w:val="num" w:pos="1188"/>
          <w:tab w:val="center" w:pos="4252"/>
          <w:tab w:val="left" w:pos="5484"/>
        </w:tabs>
        <w:spacing w:before="120"/>
        <w:jc w:val="both"/>
        <w:outlineLvl w:val="1"/>
        <w:rPr>
          <w:rFonts w:ascii="Calibri" w:eastAsia="Times New Roman" w:hAnsi="Calibri" w:cs="Calibri"/>
          <w:b/>
          <w:caps/>
          <w:color w:val="0070C0"/>
          <w:lang w:eastAsia="it-IT"/>
        </w:rPr>
      </w:pPr>
      <w:r w:rsidRPr="00A604E1">
        <w:rPr>
          <w:rFonts w:ascii="Calibri" w:eastAsia="Times New Roman" w:hAnsi="Calibri" w:cs="Calibri"/>
          <w:b/>
          <w:caps/>
          <w:color w:val="0070C0"/>
          <w:lang w:eastAsia="it-IT"/>
        </w:rPr>
        <w:lastRenderedPageBreak/>
        <w:t>LE DIMENSIONI DEL MERCATO BIO IN ITALIA</w:t>
      </w:r>
    </w:p>
    <w:p w14:paraId="5AB68313" w14:textId="77777777" w:rsidR="008F6769" w:rsidRPr="00A604E1" w:rsidRDefault="008F6769" w:rsidP="008F6769">
      <w:pPr>
        <w:keepNext/>
        <w:tabs>
          <w:tab w:val="num" w:pos="1188"/>
          <w:tab w:val="center" w:pos="4252"/>
          <w:tab w:val="left" w:pos="5484"/>
        </w:tabs>
        <w:spacing w:before="120"/>
        <w:jc w:val="both"/>
        <w:outlineLvl w:val="1"/>
        <w:rPr>
          <w:rFonts w:ascii="Calibri" w:eastAsia="Times New Roman" w:hAnsi="Calibri" w:cs="Calibri"/>
          <w:b/>
          <w:caps/>
          <w:color w:val="0070C0"/>
          <w:lang w:eastAsia="it-IT"/>
        </w:rPr>
      </w:pPr>
      <w:r w:rsidRPr="00A604E1">
        <w:rPr>
          <w:noProof/>
        </w:rPr>
        <w:drawing>
          <wp:inline distT="0" distB="0" distL="0" distR="0" wp14:anchorId="023336FA" wp14:editId="01D0C2D5">
            <wp:extent cx="5040000" cy="2833200"/>
            <wp:effectExtent l="0" t="0" r="8255" b="5715"/>
            <wp:docPr id="1235329514"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29514"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040000" cy="2833200"/>
                    </a:xfrm>
                    <a:prstGeom prst="rect">
                      <a:avLst/>
                    </a:prstGeom>
                  </pic:spPr>
                </pic:pic>
              </a:graphicData>
            </a:graphic>
          </wp:inline>
        </w:drawing>
      </w:r>
    </w:p>
    <w:p w14:paraId="26CF476C" w14:textId="45456FF8" w:rsidR="008F6769" w:rsidRDefault="008F6769" w:rsidP="008F6769">
      <w:pPr>
        <w:rPr>
          <w:rFonts w:ascii="Calibri" w:eastAsiaTheme="majorEastAsia" w:hAnsi="Calibri" w:cs="Calibri"/>
          <w:i/>
          <w:iCs/>
          <w:sz w:val="16"/>
          <w:szCs w:val="16"/>
          <w:lang w:eastAsia="it-IT"/>
        </w:rPr>
      </w:pPr>
      <w:r w:rsidRPr="00A604E1">
        <w:rPr>
          <w:rFonts w:ascii="Calibri" w:eastAsiaTheme="majorEastAsia" w:hAnsi="Calibri" w:cs="Calibri"/>
          <w:i/>
          <w:iCs/>
          <w:sz w:val="16"/>
          <w:szCs w:val="16"/>
          <w:lang w:eastAsia="it-IT"/>
        </w:rPr>
        <w:t>Fonte: Nomisma – elaborazioni su dati NIELSEN, Assobio, Ismea, Survey Imprese NOMISMA per ICE – Piattaforma ITA.BIO</w:t>
      </w:r>
    </w:p>
    <w:p w14:paraId="13E54BD9" w14:textId="77777777" w:rsidR="008F6769" w:rsidRPr="00A604E1" w:rsidRDefault="008F6769" w:rsidP="008F6769">
      <w:pPr>
        <w:rPr>
          <w:rFonts w:ascii="Calibri" w:eastAsiaTheme="majorEastAsia" w:hAnsi="Calibri" w:cs="Calibri"/>
          <w:i/>
          <w:iCs/>
          <w:sz w:val="16"/>
          <w:szCs w:val="16"/>
          <w:lang w:eastAsia="it-IT"/>
        </w:rPr>
      </w:pPr>
    </w:p>
    <w:p w14:paraId="78F3B3B4" w14:textId="77777777" w:rsidR="008F6769" w:rsidRPr="009132AA" w:rsidRDefault="008F6769" w:rsidP="008F6769">
      <w:pPr>
        <w:numPr>
          <w:ilvl w:val="0"/>
          <w:numId w:val="4"/>
        </w:numPr>
        <w:spacing w:before="120" w:after="120" w:line="276" w:lineRule="auto"/>
        <w:ind w:left="284" w:hanging="284"/>
        <w:contextualSpacing/>
        <w:jc w:val="both"/>
        <w:rPr>
          <w:rFonts w:ascii="Calibri" w:eastAsia="Times New Roman" w:hAnsi="Calibri" w:cs="Calibri"/>
          <w:color w:val="000000"/>
          <w:sz w:val="22"/>
          <w:szCs w:val="22"/>
          <w:lang w:eastAsia="it-IT"/>
        </w:rPr>
      </w:pPr>
      <w:r w:rsidRPr="009132AA">
        <w:rPr>
          <w:rFonts w:ascii="Calibri" w:eastAsia="Times New Roman" w:hAnsi="Calibri" w:cs="Calibri"/>
          <w:color w:val="000000"/>
          <w:sz w:val="22"/>
          <w:szCs w:val="22"/>
          <w:lang w:eastAsia="it-IT"/>
        </w:rPr>
        <w:t xml:space="preserve">Nel 2023 le </w:t>
      </w:r>
      <w:r w:rsidRPr="009132AA">
        <w:rPr>
          <w:rFonts w:ascii="Calibri" w:eastAsia="Times New Roman" w:hAnsi="Calibri" w:cs="Calibri"/>
          <w:b/>
          <w:bCs/>
          <w:color w:val="000000"/>
          <w:sz w:val="22"/>
          <w:szCs w:val="22"/>
          <w:lang w:eastAsia="it-IT"/>
        </w:rPr>
        <w:t xml:space="preserve">vendite alimentari </w:t>
      </w:r>
      <w:proofErr w:type="spellStart"/>
      <w:r w:rsidRPr="009132AA">
        <w:rPr>
          <w:rFonts w:ascii="Calibri" w:eastAsia="Times New Roman" w:hAnsi="Calibri" w:cs="Calibri"/>
          <w:b/>
          <w:bCs/>
          <w:color w:val="000000"/>
          <w:sz w:val="22"/>
          <w:szCs w:val="22"/>
          <w:lang w:eastAsia="it-IT"/>
        </w:rPr>
        <w:t>bio</w:t>
      </w:r>
      <w:proofErr w:type="spellEnd"/>
      <w:r w:rsidRPr="009132AA">
        <w:rPr>
          <w:rFonts w:ascii="Calibri" w:eastAsia="Times New Roman" w:hAnsi="Calibri" w:cs="Calibri"/>
          <w:color w:val="000000"/>
          <w:sz w:val="22"/>
          <w:szCs w:val="22"/>
          <w:lang w:eastAsia="it-IT"/>
        </w:rPr>
        <w:t xml:space="preserve"> nel </w:t>
      </w:r>
      <w:r w:rsidRPr="009132AA">
        <w:rPr>
          <w:rFonts w:ascii="Calibri" w:eastAsia="Times New Roman" w:hAnsi="Calibri" w:cs="Calibri"/>
          <w:b/>
          <w:bCs/>
          <w:color w:val="000000"/>
          <w:sz w:val="22"/>
          <w:szCs w:val="22"/>
          <w:lang w:eastAsia="it-IT"/>
        </w:rPr>
        <w:t>mercato interno</w:t>
      </w:r>
      <w:r w:rsidRPr="009132AA">
        <w:rPr>
          <w:rFonts w:ascii="Calibri" w:eastAsia="Times New Roman" w:hAnsi="Calibri" w:cs="Calibri"/>
          <w:color w:val="000000"/>
          <w:sz w:val="22"/>
          <w:szCs w:val="22"/>
          <w:lang w:eastAsia="it-IT"/>
        </w:rPr>
        <w:t xml:space="preserve"> (consumi domestici e consumi fuori casa) hanno raggiunto quasi i </w:t>
      </w:r>
      <w:r w:rsidRPr="009132AA">
        <w:rPr>
          <w:rFonts w:ascii="Calibri" w:eastAsia="Times New Roman" w:hAnsi="Calibri" w:cs="Calibri"/>
          <w:b/>
          <w:bCs/>
          <w:color w:val="000000"/>
          <w:sz w:val="22"/>
          <w:szCs w:val="22"/>
          <w:lang w:eastAsia="it-IT"/>
        </w:rPr>
        <w:t>5,4 miliardi di euro</w:t>
      </w:r>
      <w:r w:rsidRPr="009132AA">
        <w:rPr>
          <w:rFonts w:ascii="Calibri" w:eastAsia="Times New Roman" w:hAnsi="Calibri" w:cs="Calibri"/>
          <w:color w:val="000000"/>
          <w:sz w:val="22"/>
          <w:szCs w:val="22"/>
          <w:lang w:eastAsia="it-IT"/>
        </w:rPr>
        <w:t>. A trainare la crescita del mercato sono stati i consumi fuori casa con una crescita del +18% rispetto al 2021 e un valore di quasi 1.3 miliardi di euro. Dopo la leggera inclinazione dello scorso anno, i consumi domestici hanno registrato una crescita positiva del 5%.</w:t>
      </w:r>
    </w:p>
    <w:p w14:paraId="3841E672" w14:textId="272BA3EC" w:rsidR="008F6769" w:rsidRPr="009132AA" w:rsidRDefault="008F6769" w:rsidP="008F6769">
      <w:pPr>
        <w:numPr>
          <w:ilvl w:val="0"/>
          <w:numId w:val="4"/>
        </w:numPr>
        <w:spacing w:before="120" w:after="120" w:line="276" w:lineRule="auto"/>
        <w:ind w:left="284" w:hanging="284"/>
        <w:contextualSpacing/>
        <w:jc w:val="both"/>
        <w:rPr>
          <w:rFonts w:ascii="Calibri" w:eastAsia="Times New Roman" w:hAnsi="Calibri" w:cs="Calibri"/>
          <w:color w:val="000000"/>
          <w:sz w:val="22"/>
          <w:szCs w:val="22"/>
          <w:lang w:eastAsia="it-IT"/>
        </w:rPr>
      </w:pPr>
      <w:r w:rsidRPr="009132AA">
        <w:rPr>
          <w:rFonts w:ascii="Calibri" w:eastAsia="Times New Roman" w:hAnsi="Calibri" w:cs="Calibri"/>
          <w:color w:val="000000"/>
          <w:sz w:val="22"/>
          <w:szCs w:val="22"/>
          <w:lang w:eastAsia="it-IT"/>
        </w:rPr>
        <w:t>In confronto al 2022, le vendite della rete dei negozi specializzati ha iniziato a crescere di nuovo, aumentando le vendite del 4,5% mentre la Distribuzione Moderna è cresciute in valore del 5%. Gli altri canali sono invece cresciuti del 6% (vendita diretta realizzata in mercatini e aziende, gruppi di acquisto solidale, farmacie, parafarmacie ed erboristerie…).</w:t>
      </w:r>
    </w:p>
    <w:p w14:paraId="5332662D" w14:textId="77777777" w:rsidR="008F6769" w:rsidRPr="00A604E1" w:rsidRDefault="008F6769" w:rsidP="008F6769">
      <w:pPr>
        <w:spacing w:before="120" w:after="120" w:line="276" w:lineRule="auto"/>
        <w:jc w:val="both"/>
        <w:rPr>
          <w:rFonts w:ascii="Calibri" w:eastAsia="Times New Roman" w:hAnsi="Calibri" w:cs="Calibri"/>
          <w:color w:val="000000"/>
          <w:lang w:eastAsia="it-IT"/>
        </w:rPr>
      </w:pPr>
    </w:p>
    <w:p w14:paraId="4F86A01E" w14:textId="77777777" w:rsidR="008F6769" w:rsidRPr="00A604E1" w:rsidRDefault="008F6769" w:rsidP="008F6769">
      <w:pPr>
        <w:keepNext/>
        <w:tabs>
          <w:tab w:val="num" w:pos="1188"/>
          <w:tab w:val="center" w:pos="4252"/>
          <w:tab w:val="left" w:pos="5484"/>
        </w:tabs>
        <w:spacing w:before="120"/>
        <w:jc w:val="both"/>
        <w:outlineLvl w:val="1"/>
        <w:rPr>
          <w:rFonts w:ascii="Calibri" w:eastAsia="Times New Roman" w:hAnsi="Calibri" w:cs="Calibri"/>
          <w:b/>
          <w:caps/>
          <w:color w:val="0070C0"/>
          <w:lang w:eastAsia="it-IT"/>
        </w:rPr>
      </w:pPr>
      <w:r w:rsidRPr="00A604E1">
        <w:rPr>
          <w:rFonts w:ascii="Calibri" w:eastAsia="Times New Roman" w:hAnsi="Calibri" w:cs="Calibri"/>
          <w:b/>
          <w:caps/>
          <w:color w:val="0070C0"/>
          <w:lang w:eastAsia="it-IT"/>
        </w:rPr>
        <w:t>Il ruolo della distribuzione moderna nel mercato italiano</w:t>
      </w:r>
    </w:p>
    <w:p w14:paraId="7AB97B95" w14:textId="77777777" w:rsidR="008F6769" w:rsidRPr="009132AA" w:rsidRDefault="008F6769" w:rsidP="008F6769">
      <w:pPr>
        <w:spacing w:line="276" w:lineRule="auto"/>
        <w:jc w:val="both"/>
        <w:rPr>
          <w:rFonts w:ascii="Calibri" w:eastAsia="Calibri" w:hAnsi="Calibri" w:cs="Calibri"/>
          <w:sz w:val="22"/>
          <w:szCs w:val="22"/>
        </w:rPr>
      </w:pPr>
      <w:r w:rsidRPr="009132AA">
        <w:rPr>
          <w:rFonts w:ascii="Calibri" w:eastAsiaTheme="majorEastAsia" w:hAnsi="Calibri" w:cs="Calibri"/>
          <w:sz w:val="22"/>
          <w:szCs w:val="22"/>
        </w:rPr>
        <w:t xml:space="preserve">La </w:t>
      </w:r>
      <w:r w:rsidRPr="009132AA">
        <w:rPr>
          <w:rFonts w:ascii="Calibri" w:eastAsiaTheme="majorEastAsia" w:hAnsi="Calibri" w:cs="Calibri"/>
          <w:b/>
          <w:bCs/>
          <w:sz w:val="22"/>
          <w:szCs w:val="22"/>
        </w:rPr>
        <w:t>distribuzione moderna</w:t>
      </w:r>
      <w:r w:rsidRPr="009132AA">
        <w:rPr>
          <w:rFonts w:ascii="Calibri" w:eastAsiaTheme="majorEastAsia" w:hAnsi="Calibri" w:cs="Calibri"/>
          <w:sz w:val="22"/>
          <w:szCs w:val="22"/>
        </w:rPr>
        <w:t xml:space="preserve"> si conferma il </w:t>
      </w:r>
      <w:r w:rsidRPr="009132AA">
        <w:rPr>
          <w:rFonts w:ascii="Calibri" w:eastAsiaTheme="majorEastAsia" w:hAnsi="Calibri" w:cs="Calibri"/>
          <w:b/>
          <w:bCs/>
          <w:sz w:val="22"/>
          <w:szCs w:val="22"/>
        </w:rPr>
        <w:t>canale di riferimenti degli acquisti per il consumatore italiano</w:t>
      </w:r>
      <w:r w:rsidRPr="009132AA">
        <w:rPr>
          <w:rFonts w:ascii="Calibri" w:eastAsiaTheme="majorEastAsia" w:hAnsi="Calibri" w:cs="Calibri"/>
          <w:sz w:val="22"/>
          <w:szCs w:val="22"/>
        </w:rPr>
        <w:t xml:space="preserve">: nel 2023 gli acquisti </w:t>
      </w:r>
      <w:proofErr w:type="spellStart"/>
      <w:r w:rsidRPr="009132AA">
        <w:rPr>
          <w:rFonts w:ascii="Calibri" w:eastAsiaTheme="majorEastAsia" w:hAnsi="Calibri" w:cs="Calibri"/>
          <w:sz w:val="22"/>
          <w:szCs w:val="22"/>
        </w:rPr>
        <w:t>bio</w:t>
      </w:r>
      <w:proofErr w:type="spellEnd"/>
      <w:r w:rsidRPr="009132AA">
        <w:rPr>
          <w:rFonts w:ascii="Calibri" w:eastAsiaTheme="majorEastAsia" w:hAnsi="Calibri" w:cs="Calibri"/>
          <w:sz w:val="22"/>
          <w:szCs w:val="22"/>
        </w:rPr>
        <w:t xml:space="preserve"> nella distribuzione moderna si attestano a </w:t>
      </w:r>
      <w:r w:rsidRPr="009132AA">
        <w:rPr>
          <w:rFonts w:ascii="Calibri" w:eastAsiaTheme="majorEastAsia" w:hAnsi="Calibri" w:cs="Calibri"/>
          <w:b/>
          <w:bCs/>
          <w:sz w:val="22"/>
          <w:szCs w:val="22"/>
        </w:rPr>
        <w:t>2,1 miliardi di euro</w:t>
      </w:r>
      <w:r w:rsidRPr="009132AA">
        <w:rPr>
          <w:rFonts w:ascii="Calibri" w:eastAsiaTheme="majorEastAsia" w:hAnsi="Calibri" w:cs="Calibri"/>
          <w:sz w:val="22"/>
          <w:szCs w:val="22"/>
        </w:rPr>
        <w:t xml:space="preserve"> (perimetro </w:t>
      </w:r>
      <w:proofErr w:type="spellStart"/>
      <w:r w:rsidRPr="009132AA">
        <w:rPr>
          <w:rFonts w:ascii="Calibri" w:eastAsiaTheme="majorEastAsia" w:hAnsi="Calibri" w:cs="Calibri"/>
          <w:sz w:val="22"/>
          <w:szCs w:val="22"/>
        </w:rPr>
        <w:t>omnichannel</w:t>
      </w:r>
      <w:proofErr w:type="spellEnd"/>
      <w:r w:rsidRPr="009132AA">
        <w:rPr>
          <w:rFonts w:ascii="Calibri" w:eastAsiaTheme="majorEastAsia" w:hAnsi="Calibri" w:cs="Calibri"/>
          <w:sz w:val="22"/>
          <w:szCs w:val="22"/>
        </w:rPr>
        <w:t xml:space="preserve">, fonte: Nielsen IQ). La Distribuzione Moderna rimane il canale di acquisto di riferimento per il biologico degli italiani sia in termini di ruolo rispetto agli altri canali di acquisto (con un peso pari al </w:t>
      </w:r>
      <w:r w:rsidRPr="009132AA">
        <w:rPr>
          <w:rFonts w:ascii="Calibri" w:eastAsiaTheme="majorEastAsia" w:hAnsi="Calibri" w:cs="Calibri"/>
          <w:b/>
          <w:bCs/>
          <w:sz w:val="22"/>
          <w:szCs w:val="22"/>
        </w:rPr>
        <w:t>58% del totale</w:t>
      </w:r>
      <w:r w:rsidRPr="009132AA">
        <w:rPr>
          <w:rFonts w:ascii="Calibri" w:eastAsiaTheme="majorEastAsia" w:hAnsi="Calibri" w:cs="Calibri"/>
          <w:sz w:val="22"/>
          <w:szCs w:val="22"/>
        </w:rPr>
        <w:t xml:space="preserve"> delle vendite legate ai consumi domestici degli italiani), sia in termini di scelta di prodotto (la Marca del Distributore oggi rappresenta il 47,5% delle vendite a valore veicolate della distribuzione moderna). All'interno del Grocery Retail, nel 2023, il canale Ipermercati + Supermercati ha rappresentato circa 1,5 miliardi di euro di vendite di </w:t>
      </w:r>
      <w:r w:rsidRPr="009132AA">
        <w:rPr>
          <w:rFonts w:ascii="Calibri" w:eastAsiaTheme="majorEastAsia" w:hAnsi="Calibri" w:cs="Calibri"/>
          <w:sz w:val="22"/>
          <w:szCs w:val="22"/>
        </w:rPr>
        <w:lastRenderedPageBreak/>
        <w:t>prodotti biologici (perimetro: prodotti confezionati a peso fisso; fonte: Nielsen), con una dimensione in crescita rispetto al 2022.</w:t>
      </w:r>
    </w:p>
    <w:p w14:paraId="38C6F76B" w14:textId="77777777" w:rsidR="008F6769" w:rsidRPr="003433E6" w:rsidRDefault="008F6769" w:rsidP="008F6769">
      <w:pPr>
        <w:spacing w:before="120" w:after="120" w:line="276" w:lineRule="auto"/>
        <w:jc w:val="both"/>
        <w:rPr>
          <w:rFonts w:ascii="Calibri" w:eastAsia="Times New Roman" w:hAnsi="Calibri" w:cs="Calibri"/>
          <w:sz w:val="21"/>
          <w:szCs w:val="21"/>
          <w:lang w:eastAsia="it-IT"/>
        </w:rPr>
      </w:pPr>
      <w:r w:rsidRPr="003433E6">
        <w:rPr>
          <w:rFonts w:ascii="Calibri" w:eastAsia="Times New Roman" w:hAnsi="Calibri" w:cs="Calibri"/>
          <w:sz w:val="21"/>
          <w:szCs w:val="21"/>
          <w:lang w:eastAsia="it-IT"/>
        </w:rPr>
        <w:t xml:space="preserve">Esaminando i prodotti </w:t>
      </w:r>
      <w:proofErr w:type="spellStart"/>
      <w:r w:rsidRPr="003433E6">
        <w:rPr>
          <w:rFonts w:ascii="Calibri" w:eastAsia="Times New Roman" w:hAnsi="Calibri" w:cs="Calibri"/>
          <w:sz w:val="21"/>
          <w:szCs w:val="21"/>
          <w:lang w:eastAsia="it-IT"/>
        </w:rPr>
        <w:t>bio</w:t>
      </w:r>
      <w:proofErr w:type="spellEnd"/>
      <w:r w:rsidRPr="003433E6">
        <w:rPr>
          <w:rFonts w:ascii="Calibri" w:eastAsia="Times New Roman" w:hAnsi="Calibri" w:cs="Calibri"/>
          <w:sz w:val="21"/>
          <w:szCs w:val="21"/>
          <w:lang w:eastAsia="it-IT"/>
        </w:rPr>
        <w:t xml:space="preserve"> maggiormente venduti troviamo le uova (+9.7%), le gallette (+4.4%) e le confetture e spalmabili a base di frutta (+6.2%). Tra gli altri prodotti che hanno registrato una crescita delle vendite a valore vi è la frutta conservata che registra +33,6% e le banane con + 25,5%.</w:t>
      </w:r>
    </w:p>
    <w:p w14:paraId="440E9A1D" w14:textId="77777777" w:rsidR="008F6769" w:rsidRPr="00A604E1" w:rsidRDefault="008F6769" w:rsidP="008F6769">
      <w:pPr>
        <w:shd w:val="clear" w:color="auto" w:fill="FFFFFF"/>
        <w:jc w:val="both"/>
        <w:rPr>
          <w:rFonts w:ascii="Calibri" w:eastAsiaTheme="majorEastAsia" w:hAnsi="Calibri" w:cs="Calibri"/>
          <w:lang w:eastAsia="it-IT"/>
        </w:rPr>
      </w:pPr>
    </w:p>
    <w:p w14:paraId="7F3B26FE" w14:textId="77777777" w:rsidR="008F6769" w:rsidRPr="00A604E1" w:rsidRDefault="008F6769" w:rsidP="008F6769">
      <w:pPr>
        <w:shd w:val="clear" w:color="auto" w:fill="FFFFFF"/>
        <w:jc w:val="both"/>
        <w:rPr>
          <w:rFonts w:ascii="Calibri" w:eastAsiaTheme="majorEastAsia" w:hAnsi="Calibri" w:cs="Calibri"/>
          <w:lang w:eastAsia="it-IT"/>
        </w:rPr>
      </w:pPr>
      <w:r w:rsidRPr="00A604E1">
        <w:rPr>
          <w:rFonts w:ascii="Calibri" w:eastAsia="Times New Roman" w:hAnsi="Calibri" w:cs="Calibri"/>
          <w:noProof/>
          <w:lang w:eastAsia="it-IT"/>
        </w:rPr>
        <w:drawing>
          <wp:inline distT="0" distB="0" distL="0" distR="0" wp14:anchorId="40CF06BA" wp14:editId="6141D186">
            <wp:extent cx="5040000" cy="2833200"/>
            <wp:effectExtent l="0" t="0" r="8255" b="5715"/>
            <wp:docPr id="1837199054"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99054"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040000" cy="2833200"/>
                    </a:xfrm>
                    <a:prstGeom prst="rect">
                      <a:avLst/>
                    </a:prstGeom>
                  </pic:spPr>
                </pic:pic>
              </a:graphicData>
            </a:graphic>
          </wp:inline>
        </w:drawing>
      </w:r>
      <w:r w:rsidRPr="00A604E1">
        <w:rPr>
          <w:rFonts w:ascii="Calibri" w:eastAsia="Times New Roman" w:hAnsi="Calibri" w:cs="Calibri"/>
          <w:noProof/>
          <w:lang w:eastAsia="it-IT"/>
        </w:rPr>
        <w:t xml:space="preserve"> </w:t>
      </w:r>
    </w:p>
    <w:p w14:paraId="1B53E406" w14:textId="77777777" w:rsidR="008F6769" w:rsidRPr="00A604E1" w:rsidRDefault="008F6769" w:rsidP="008F6769">
      <w:pPr>
        <w:shd w:val="clear" w:color="auto" w:fill="FFFFFF"/>
        <w:spacing w:after="360" w:line="276" w:lineRule="auto"/>
        <w:jc w:val="both"/>
        <w:rPr>
          <w:rFonts w:ascii="Calibri" w:eastAsiaTheme="majorEastAsia" w:hAnsi="Calibri" w:cs="Calibri"/>
          <w:i/>
          <w:iCs/>
          <w:sz w:val="16"/>
          <w:szCs w:val="16"/>
          <w:lang w:eastAsia="it-IT"/>
        </w:rPr>
      </w:pPr>
      <w:r w:rsidRPr="00A604E1">
        <w:rPr>
          <w:rFonts w:ascii="Calibri" w:eastAsiaTheme="majorEastAsia" w:hAnsi="Calibri" w:cs="Calibri"/>
          <w:i/>
          <w:iCs/>
          <w:sz w:val="16"/>
          <w:szCs w:val="16"/>
          <w:lang w:eastAsia="it-IT"/>
        </w:rPr>
        <w:t>Fonte: Nomisma su dati Nielsen</w:t>
      </w:r>
    </w:p>
    <w:p w14:paraId="7C5F767E" w14:textId="77777777" w:rsidR="008F6769" w:rsidRPr="00A604E1" w:rsidRDefault="008F6769" w:rsidP="008F6769">
      <w:pPr>
        <w:keepNext/>
        <w:tabs>
          <w:tab w:val="num" w:pos="1188"/>
          <w:tab w:val="center" w:pos="4252"/>
          <w:tab w:val="left" w:pos="5484"/>
        </w:tabs>
        <w:spacing w:before="120"/>
        <w:jc w:val="both"/>
        <w:outlineLvl w:val="1"/>
        <w:rPr>
          <w:rFonts w:ascii="Calibri" w:eastAsia="Times New Roman" w:hAnsi="Calibri" w:cs="Calibri"/>
          <w:b/>
          <w:caps/>
          <w:color w:val="0070C0"/>
        </w:rPr>
      </w:pPr>
      <w:r w:rsidRPr="00A604E1">
        <w:rPr>
          <w:rFonts w:ascii="Calibri" w:eastAsia="Times New Roman" w:hAnsi="Calibri" w:cs="Calibri"/>
          <w:b/>
          <w:caps/>
          <w:color w:val="0070C0"/>
        </w:rPr>
        <w:t>EXPORT E BIO A LIVELLO INTERNAZIONALE</w:t>
      </w:r>
    </w:p>
    <w:p w14:paraId="7551C871" w14:textId="77777777" w:rsidR="008F6769" w:rsidRPr="009132AA" w:rsidRDefault="008F6769" w:rsidP="009132AA">
      <w:pPr>
        <w:shd w:val="clear" w:color="auto" w:fill="FFFFFF"/>
        <w:spacing w:line="276" w:lineRule="auto"/>
        <w:jc w:val="both"/>
        <w:rPr>
          <w:rFonts w:ascii="Calibri" w:eastAsiaTheme="majorEastAsia" w:hAnsi="Calibri" w:cs="Calibri"/>
          <w:sz w:val="22"/>
          <w:szCs w:val="22"/>
          <w:lang w:eastAsia="it-IT"/>
        </w:rPr>
      </w:pPr>
      <w:r w:rsidRPr="009132AA">
        <w:rPr>
          <w:rFonts w:ascii="Calibri" w:eastAsiaTheme="majorEastAsia" w:hAnsi="Calibri" w:cs="Calibri"/>
          <w:sz w:val="22"/>
          <w:szCs w:val="22"/>
          <w:lang w:eastAsia="it-IT"/>
        </w:rPr>
        <w:t>Positiva la performance dell’</w:t>
      </w:r>
      <w:r w:rsidRPr="009132AA">
        <w:rPr>
          <w:rFonts w:ascii="Calibri" w:eastAsiaTheme="majorEastAsia" w:hAnsi="Calibri" w:cs="Calibri"/>
          <w:b/>
          <w:bCs/>
          <w:sz w:val="22"/>
          <w:szCs w:val="22"/>
          <w:lang w:eastAsia="it-IT"/>
        </w:rPr>
        <w:t>export</w:t>
      </w:r>
      <w:r w:rsidRPr="009132AA">
        <w:rPr>
          <w:rFonts w:ascii="Calibri" w:eastAsiaTheme="majorEastAsia" w:hAnsi="Calibri" w:cs="Calibri"/>
          <w:sz w:val="22"/>
          <w:szCs w:val="22"/>
          <w:lang w:eastAsia="it-IT"/>
        </w:rPr>
        <w:t xml:space="preserve"> </w:t>
      </w:r>
      <w:r w:rsidRPr="009132AA">
        <w:rPr>
          <w:rFonts w:ascii="Calibri" w:eastAsiaTheme="majorEastAsia" w:hAnsi="Calibri" w:cs="Calibri"/>
          <w:b/>
          <w:bCs/>
          <w:sz w:val="22"/>
          <w:szCs w:val="22"/>
          <w:lang w:eastAsia="it-IT"/>
        </w:rPr>
        <w:t xml:space="preserve">di prodotti agroalimentari italiani </w:t>
      </w:r>
      <w:proofErr w:type="spellStart"/>
      <w:r w:rsidRPr="009132AA">
        <w:rPr>
          <w:rFonts w:ascii="Calibri" w:eastAsiaTheme="majorEastAsia" w:hAnsi="Calibri" w:cs="Calibri"/>
          <w:b/>
          <w:bCs/>
          <w:sz w:val="22"/>
          <w:szCs w:val="22"/>
          <w:lang w:eastAsia="it-IT"/>
        </w:rPr>
        <w:t>bio</w:t>
      </w:r>
      <w:proofErr w:type="spellEnd"/>
      <w:r w:rsidRPr="009132AA">
        <w:rPr>
          <w:rFonts w:ascii="Calibri" w:eastAsiaTheme="majorEastAsia" w:hAnsi="Calibri" w:cs="Calibri"/>
          <w:sz w:val="22"/>
          <w:szCs w:val="22"/>
          <w:lang w:eastAsia="it-IT"/>
        </w:rPr>
        <w:t xml:space="preserve"> che raggiunge i </w:t>
      </w:r>
      <w:r w:rsidRPr="009132AA">
        <w:rPr>
          <w:rFonts w:ascii="Calibri" w:eastAsiaTheme="majorEastAsia" w:hAnsi="Calibri" w:cs="Calibri"/>
          <w:b/>
          <w:bCs/>
          <w:sz w:val="22"/>
          <w:szCs w:val="22"/>
          <w:lang w:eastAsia="it-IT"/>
        </w:rPr>
        <w:t>3,6 miliardi di euro</w:t>
      </w:r>
      <w:r w:rsidRPr="009132AA">
        <w:rPr>
          <w:rFonts w:ascii="Calibri" w:eastAsiaTheme="majorEastAsia" w:hAnsi="Calibri" w:cs="Calibri"/>
          <w:sz w:val="22"/>
          <w:szCs w:val="22"/>
          <w:lang w:eastAsia="it-IT"/>
        </w:rPr>
        <w:t xml:space="preserve"> nel 2023, segnando una crescita del +8%. La gran parte delle esportazioni </w:t>
      </w:r>
      <w:proofErr w:type="spellStart"/>
      <w:r w:rsidRPr="009132AA">
        <w:rPr>
          <w:rFonts w:ascii="Calibri" w:eastAsiaTheme="majorEastAsia" w:hAnsi="Calibri" w:cs="Calibri"/>
          <w:sz w:val="22"/>
          <w:szCs w:val="22"/>
          <w:lang w:eastAsia="it-IT"/>
        </w:rPr>
        <w:t>bio</w:t>
      </w:r>
      <w:proofErr w:type="spellEnd"/>
      <w:r w:rsidRPr="009132AA">
        <w:rPr>
          <w:rFonts w:ascii="Calibri" w:eastAsiaTheme="majorEastAsia" w:hAnsi="Calibri" w:cs="Calibri"/>
          <w:sz w:val="22"/>
          <w:szCs w:val="22"/>
          <w:lang w:eastAsia="it-IT"/>
        </w:rPr>
        <w:t xml:space="preserve"> (81% del totale) riguarda i prodotti agroalimentari mentre il vino pesa per il restante 19% (una quota maggiore di quanto si registra considerando l’export agroalimentare italiano in generale). Sono questi i dati che emergono dall’ analisi condotta nell’ambito di ITA.BIO, la piattaforma online di dati e informazioni per l’internazionalizzazione del biologico Made in Italy curata da Nomisma e promossa da ICE Agenzia e FederBio. </w:t>
      </w:r>
    </w:p>
    <w:p w14:paraId="5D837CE0" w14:textId="77777777" w:rsidR="008F6769" w:rsidRPr="009132AA" w:rsidRDefault="008F6769" w:rsidP="009132AA">
      <w:pPr>
        <w:shd w:val="clear" w:color="auto" w:fill="FFFFFF"/>
        <w:spacing w:line="276" w:lineRule="auto"/>
        <w:jc w:val="both"/>
        <w:rPr>
          <w:rFonts w:ascii="Calibri" w:eastAsiaTheme="majorEastAsia" w:hAnsi="Calibri" w:cs="Calibri"/>
          <w:sz w:val="22"/>
          <w:szCs w:val="22"/>
          <w:lang w:eastAsia="it-IT"/>
        </w:rPr>
      </w:pPr>
    </w:p>
    <w:p w14:paraId="66819244" w14:textId="77777777" w:rsidR="008F6769" w:rsidRPr="009132AA" w:rsidRDefault="008F6769" w:rsidP="009132AA">
      <w:pPr>
        <w:spacing w:line="276" w:lineRule="auto"/>
        <w:rPr>
          <w:rFonts w:ascii="Calibri" w:hAnsi="Calibri" w:cs="Calibri"/>
          <w:b/>
          <w:bCs/>
          <w:sz w:val="22"/>
          <w:szCs w:val="22"/>
        </w:rPr>
      </w:pPr>
      <w:r w:rsidRPr="009132AA">
        <w:rPr>
          <w:rFonts w:ascii="Calibri" w:hAnsi="Calibri" w:cs="Calibri"/>
          <w:b/>
          <w:bCs/>
          <w:sz w:val="22"/>
          <w:szCs w:val="22"/>
        </w:rPr>
        <w:t>IL BIOLOGICO: LE CARATTERISTICHE RICERCATE DAGLI ITALIANI</w:t>
      </w:r>
    </w:p>
    <w:p w14:paraId="13D51A64" w14:textId="77777777" w:rsidR="008F6769" w:rsidRPr="009132AA" w:rsidRDefault="008F6769" w:rsidP="009132AA">
      <w:pPr>
        <w:shd w:val="clear" w:color="auto" w:fill="FFFFFF"/>
        <w:spacing w:line="276" w:lineRule="auto"/>
        <w:jc w:val="both"/>
        <w:rPr>
          <w:rFonts w:ascii="Calibri" w:eastAsiaTheme="majorEastAsia" w:hAnsi="Calibri" w:cs="Calibri"/>
          <w:sz w:val="22"/>
          <w:szCs w:val="22"/>
          <w:lang w:eastAsia="it-IT"/>
        </w:rPr>
      </w:pPr>
      <w:r w:rsidRPr="009132AA">
        <w:rPr>
          <w:rFonts w:ascii="Calibri" w:eastAsiaTheme="majorEastAsia" w:hAnsi="Calibri" w:cs="Calibri"/>
          <w:sz w:val="22"/>
          <w:szCs w:val="22"/>
          <w:lang w:eastAsia="it-IT"/>
        </w:rPr>
        <w:t xml:space="preserve">Nel 2023 la consumer base di prodotti </w:t>
      </w:r>
      <w:proofErr w:type="spellStart"/>
      <w:r w:rsidRPr="009132AA">
        <w:rPr>
          <w:rFonts w:ascii="Calibri" w:eastAsiaTheme="majorEastAsia" w:hAnsi="Calibri" w:cs="Calibri"/>
          <w:sz w:val="22"/>
          <w:szCs w:val="22"/>
          <w:lang w:eastAsia="it-IT"/>
        </w:rPr>
        <w:t>bio</w:t>
      </w:r>
      <w:proofErr w:type="spellEnd"/>
      <w:r w:rsidRPr="009132AA">
        <w:rPr>
          <w:rFonts w:ascii="Calibri" w:eastAsiaTheme="majorEastAsia" w:hAnsi="Calibri" w:cs="Calibri"/>
          <w:sz w:val="22"/>
          <w:szCs w:val="22"/>
          <w:lang w:eastAsia="it-IT"/>
        </w:rPr>
        <w:t xml:space="preserve"> rimane l’indicatore di maggior interesse delle famiglie: il 90% della popolazione di età compresa tra 18 e 65 anni ha acquistato consapevolmente almeno un prodotto alimentare </w:t>
      </w:r>
      <w:proofErr w:type="spellStart"/>
      <w:r w:rsidRPr="009132AA">
        <w:rPr>
          <w:rFonts w:ascii="Calibri" w:eastAsiaTheme="majorEastAsia" w:hAnsi="Calibri" w:cs="Calibri"/>
          <w:sz w:val="22"/>
          <w:szCs w:val="22"/>
          <w:lang w:eastAsia="it-IT"/>
        </w:rPr>
        <w:t>bio</w:t>
      </w:r>
      <w:proofErr w:type="spellEnd"/>
      <w:r w:rsidRPr="009132AA">
        <w:rPr>
          <w:rFonts w:ascii="Calibri" w:eastAsiaTheme="majorEastAsia" w:hAnsi="Calibri" w:cs="Calibri"/>
          <w:sz w:val="22"/>
          <w:szCs w:val="22"/>
          <w:lang w:eastAsia="it-IT"/>
        </w:rPr>
        <w:t xml:space="preserve"> nell’ultimo anno. </w:t>
      </w:r>
    </w:p>
    <w:p w14:paraId="71622014" w14:textId="77777777" w:rsidR="008F6769" w:rsidRPr="009132AA" w:rsidRDefault="008F6769" w:rsidP="009132AA">
      <w:pPr>
        <w:shd w:val="clear" w:color="auto" w:fill="FFFFFF"/>
        <w:spacing w:line="276" w:lineRule="auto"/>
        <w:jc w:val="both"/>
        <w:rPr>
          <w:rFonts w:ascii="Calibri" w:eastAsiaTheme="majorEastAsia" w:hAnsi="Calibri" w:cs="Calibri"/>
          <w:sz w:val="22"/>
          <w:szCs w:val="22"/>
          <w:lang w:eastAsia="it-IT"/>
        </w:rPr>
      </w:pPr>
      <w:proofErr w:type="spellStart"/>
      <w:r w:rsidRPr="009132AA">
        <w:rPr>
          <w:rFonts w:ascii="Calibri" w:eastAsiaTheme="majorEastAsia" w:hAnsi="Calibri" w:cs="Calibri"/>
          <w:sz w:val="22"/>
          <w:szCs w:val="22"/>
          <w:lang w:eastAsia="it-IT"/>
        </w:rPr>
        <w:lastRenderedPageBreak/>
        <w:t>Usership</w:t>
      </w:r>
      <w:proofErr w:type="spellEnd"/>
      <w:r w:rsidRPr="009132AA">
        <w:rPr>
          <w:rFonts w:ascii="Calibri" w:eastAsiaTheme="majorEastAsia" w:hAnsi="Calibri" w:cs="Calibri"/>
          <w:sz w:val="22"/>
          <w:szCs w:val="22"/>
          <w:lang w:eastAsia="it-IT"/>
        </w:rPr>
        <w:t xml:space="preserve"> che vede una sempre più complessa composizione dei carrelli alimentari che riflettono l’affermazione di differenti stili alimentari: è pari all’86% del totale la quota di user di prodotti 100% vegetali, 55% quella relativa all’acquisto di prodotti free from (64% senza lattosio, 45% senza glutine) mentre 1 italiano su 3 ha acquisto prodotti ricchi di proteine. </w:t>
      </w:r>
    </w:p>
    <w:p w14:paraId="5C75907B" w14:textId="77777777" w:rsidR="008F6769" w:rsidRPr="009132AA" w:rsidRDefault="008F6769" w:rsidP="009132AA">
      <w:pPr>
        <w:shd w:val="clear" w:color="auto" w:fill="FFFFFF"/>
        <w:spacing w:line="276" w:lineRule="auto"/>
        <w:jc w:val="both"/>
        <w:rPr>
          <w:rFonts w:ascii="Calibri" w:eastAsiaTheme="majorEastAsia" w:hAnsi="Calibri" w:cs="Calibri"/>
          <w:sz w:val="22"/>
          <w:szCs w:val="22"/>
          <w:lang w:eastAsia="it-IT"/>
        </w:rPr>
      </w:pPr>
      <w:r w:rsidRPr="009132AA">
        <w:rPr>
          <w:rFonts w:ascii="Calibri" w:eastAsiaTheme="majorEastAsia" w:hAnsi="Calibri" w:cs="Calibri"/>
          <w:sz w:val="22"/>
          <w:szCs w:val="22"/>
          <w:lang w:eastAsia="it-IT"/>
        </w:rPr>
        <w:t xml:space="preserve">L’interesse per altre caratteristiche di prodotto ha determinato l’orientamento degli assortimenti del </w:t>
      </w:r>
      <w:proofErr w:type="spellStart"/>
      <w:r w:rsidRPr="009132AA">
        <w:rPr>
          <w:rFonts w:ascii="Calibri" w:eastAsiaTheme="majorEastAsia" w:hAnsi="Calibri" w:cs="Calibri"/>
          <w:sz w:val="22"/>
          <w:szCs w:val="22"/>
          <w:lang w:eastAsia="it-IT"/>
        </w:rPr>
        <w:t>bio</w:t>
      </w:r>
      <w:proofErr w:type="spellEnd"/>
      <w:r w:rsidRPr="009132AA">
        <w:rPr>
          <w:rFonts w:ascii="Calibri" w:eastAsiaTheme="majorEastAsia" w:hAnsi="Calibri" w:cs="Calibri"/>
          <w:sz w:val="22"/>
          <w:szCs w:val="22"/>
          <w:lang w:eastAsia="it-IT"/>
        </w:rPr>
        <w:t xml:space="preserve">, che ad oggi concentrano gran parte della proposta presente nella GDO verso prodotti espressioni dell’italianità (34,5% delle referenze della categoria </w:t>
      </w:r>
      <w:proofErr w:type="spellStart"/>
      <w:r w:rsidRPr="009132AA">
        <w:rPr>
          <w:rFonts w:ascii="Calibri" w:eastAsiaTheme="majorEastAsia" w:hAnsi="Calibri" w:cs="Calibri"/>
          <w:sz w:val="22"/>
          <w:szCs w:val="22"/>
          <w:lang w:eastAsia="it-IT"/>
        </w:rPr>
        <w:t>bio</w:t>
      </w:r>
      <w:proofErr w:type="spellEnd"/>
      <w:r w:rsidRPr="009132AA">
        <w:rPr>
          <w:rFonts w:ascii="Calibri" w:eastAsiaTheme="majorEastAsia" w:hAnsi="Calibri" w:cs="Calibri"/>
          <w:sz w:val="22"/>
          <w:szCs w:val="22"/>
          <w:lang w:eastAsia="it-IT"/>
        </w:rPr>
        <w:t xml:space="preserve">) e </w:t>
      </w:r>
      <w:proofErr w:type="spellStart"/>
      <w:r w:rsidRPr="009132AA">
        <w:rPr>
          <w:rFonts w:ascii="Calibri" w:eastAsiaTheme="majorEastAsia" w:hAnsi="Calibri" w:cs="Calibri"/>
          <w:sz w:val="22"/>
          <w:szCs w:val="22"/>
          <w:lang w:eastAsia="it-IT"/>
        </w:rPr>
        <w:t>rich</w:t>
      </w:r>
      <w:proofErr w:type="spellEnd"/>
      <w:r w:rsidRPr="009132AA">
        <w:rPr>
          <w:rFonts w:ascii="Calibri" w:eastAsiaTheme="majorEastAsia" w:hAnsi="Calibri" w:cs="Calibri"/>
          <w:sz w:val="22"/>
          <w:szCs w:val="22"/>
          <w:lang w:eastAsia="it-IT"/>
        </w:rPr>
        <w:t xml:space="preserve"> in (23,5% con maggior offerta relative a referenze ricche di fibra – 14,2% - o integrali – 7,8% - piuttosto che di proteine – 5,3% - che rimane l’area di maggiore sviluppo dei prodotti convenzionali). </w:t>
      </w:r>
    </w:p>
    <w:p w14:paraId="2534AA35" w14:textId="77777777" w:rsidR="008F6769" w:rsidRPr="009132AA" w:rsidRDefault="008F6769" w:rsidP="009132AA">
      <w:pPr>
        <w:shd w:val="clear" w:color="auto" w:fill="FFFFFF"/>
        <w:spacing w:line="276" w:lineRule="auto"/>
        <w:jc w:val="both"/>
        <w:rPr>
          <w:rFonts w:ascii="Calibri" w:eastAsiaTheme="majorEastAsia" w:hAnsi="Calibri" w:cs="Calibri"/>
          <w:sz w:val="22"/>
          <w:szCs w:val="22"/>
          <w:lang w:eastAsia="it-IT"/>
        </w:rPr>
      </w:pPr>
      <w:r w:rsidRPr="009132AA">
        <w:rPr>
          <w:rFonts w:ascii="Calibri" w:eastAsiaTheme="majorEastAsia" w:hAnsi="Calibri" w:cs="Calibri"/>
          <w:sz w:val="22"/>
          <w:szCs w:val="22"/>
          <w:lang w:eastAsia="it-IT"/>
        </w:rPr>
        <w:t xml:space="preserve">Inoltre, il </w:t>
      </w:r>
      <w:proofErr w:type="spellStart"/>
      <w:r w:rsidRPr="009132AA">
        <w:rPr>
          <w:rFonts w:ascii="Calibri" w:eastAsiaTheme="majorEastAsia" w:hAnsi="Calibri" w:cs="Calibri"/>
          <w:sz w:val="22"/>
          <w:szCs w:val="22"/>
          <w:lang w:eastAsia="it-IT"/>
        </w:rPr>
        <w:t>bio</w:t>
      </w:r>
      <w:proofErr w:type="spellEnd"/>
      <w:r w:rsidRPr="009132AA">
        <w:rPr>
          <w:rFonts w:ascii="Calibri" w:eastAsiaTheme="majorEastAsia" w:hAnsi="Calibri" w:cs="Calibri"/>
          <w:sz w:val="22"/>
          <w:szCs w:val="22"/>
          <w:lang w:eastAsia="it-IT"/>
        </w:rPr>
        <w:t xml:space="preserve"> rappresenta ancora per la maggior parte degli acquirenti (58%) la prima scelta, soprattutto per alcune categorie come frutta e verdura fresca, uova (12%) e olio extra vergine di oliva.</w:t>
      </w:r>
    </w:p>
    <w:p w14:paraId="70727FD4" w14:textId="77777777" w:rsidR="008F6769" w:rsidRPr="003433E6" w:rsidRDefault="008F6769" w:rsidP="008F6769">
      <w:pPr>
        <w:shd w:val="clear" w:color="auto" w:fill="FFFFFF"/>
        <w:jc w:val="both"/>
        <w:rPr>
          <w:rFonts w:ascii="Calibri" w:eastAsiaTheme="majorEastAsia" w:hAnsi="Calibri" w:cs="Calibri"/>
          <w:sz w:val="21"/>
          <w:szCs w:val="21"/>
          <w:lang w:eastAsia="it-IT"/>
        </w:rPr>
      </w:pPr>
    </w:p>
    <w:p w14:paraId="739EDA47" w14:textId="77777777" w:rsidR="008F6769" w:rsidRPr="00A604E1" w:rsidRDefault="008F6769" w:rsidP="008F6769">
      <w:pPr>
        <w:rPr>
          <w:rFonts w:ascii="Calibri" w:hAnsi="Calibri" w:cs="Calibri"/>
        </w:rPr>
      </w:pPr>
      <w:r w:rsidRPr="00A604E1">
        <w:rPr>
          <w:rFonts w:ascii="Calibri" w:hAnsi="Calibri" w:cs="Calibri"/>
          <w:noProof/>
        </w:rPr>
        <w:drawing>
          <wp:inline distT="0" distB="0" distL="0" distR="0" wp14:anchorId="350FF093" wp14:editId="3F8D0AA6">
            <wp:extent cx="5040000" cy="2833200"/>
            <wp:effectExtent l="0" t="0" r="8255" b="5715"/>
            <wp:docPr id="730065123"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65123"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040000" cy="2833200"/>
                    </a:xfrm>
                    <a:prstGeom prst="rect">
                      <a:avLst/>
                    </a:prstGeom>
                  </pic:spPr>
                </pic:pic>
              </a:graphicData>
            </a:graphic>
          </wp:inline>
        </w:drawing>
      </w:r>
    </w:p>
    <w:p w14:paraId="3028D625" w14:textId="77777777" w:rsidR="008F6769" w:rsidRPr="00A604E1" w:rsidRDefault="008F6769" w:rsidP="008F6769">
      <w:pPr>
        <w:shd w:val="clear" w:color="auto" w:fill="FFFFFF"/>
        <w:spacing w:line="276" w:lineRule="auto"/>
        <w:jc w:val="both"/>
        <w:rPr>
          <w:rFonts w:ascii="Calibri" w:eastAsiaTheme="majorEastAsia" w:hAnsi="Calibri" w:cs="Calibri"/>
          <w:i/>
          <w:iCs/>
          <w:sz w:val="16"/>
          <w:szCs w:val="16"/>
          <w:lang w:eastAsia="it-IT"/>
        </w:rPr>
      </w:pPr>
      <w:r w:rsidRPr="00A604E1">
        <w:rPr>
          <w:rFonts w:ascii="Calibri" w:eastAsiaTheme="majorEastAsia" w:hAnsi="Calibri" w:cs="Calibri"/>
          <w:i/>
          <w:iCs/>
          <w:sz w:val="16"/>
          <w:szCs w:val="16"/>
          <w:lang w:eastAsia="it-IT"/>
        </w:rPr>
        <w:t>Fonte: Nomisma per BIOFACH – Consumer Survey</w:t>
      </w:r>
    </w:p>
    <w:p w14:paraId="29AC2920" w14:textId="77777777" w:rsidR="008F6769" w:rsidRPr="00A604E1" w:rsidRDefault="008F6769" w:rsidP="008F6769">
      <w:pPr>
        <w:shd w:val="clear" w:color="auto" w:fill="FFFFFF"/>
        <w:spacing w:line="276" w:lineRule="auto"/>
        <w:jc w:val="both"/>
        <w:rPr>
          <w:rFonts w:ascii="Calibri" w:eastAsiaTheme="majorEastAsia" w:hAnsi="Calibri" w:cs="Calibri"/>
          <w:lang w:eastAsia="it-IT"/>
        </w:rPr>
      </w:pPr>
    </w:p>
    <w:p w14:paraId="4CB288BD" w14:textId="77777777" w:rsidR="008F6769" w:rsidRPr="009132AA" w:rsidRDefault="008F6769" w:rsidP="008F6769">
      <w:pPr>
        <w:shd w:val="clear" w:color="auto" w:fill="FFFFFF"/>
        <w:spacing w:line="276" w:lineRule="auto"/>
        <w:jc w:val="both"/>
        <w:rPr>
          <w:rFonts w:ascii="Calibri" w:eastAsiaTheme="majorEastAsia" w:hAnsi="Calibri" w:cs="Calibri"/>
          <w:sz w:val="22"/>
          <w:szCs w:val="22"/>
          <w:lang w:eastAsia="it-IT"/>
        </w:rPr>
      </w:pPr>
      <w:r w:rsidRPr="009132AA">
        <w:rPr>
          <w:rFonts w:ascii="Calibri" w:eastAsiaTheme="majorEastAsia" w:hAnsi="Calibri" w:cs="Calibri"/>
          <w:sz w:val="22"/>
          <w:szCs w:val="22"/>
          <w:lang w:eastAsia="it-IT"/>
        </w:rPr>
        <w:t xml:space="preserve">Ma quali sono le principali motivazioni che spingono i consumatori italiani ad acquistare prodotti </w:t>
      </w:r>
      <w:proofErr w:type="spellStart"/>
      <w:r w:rsidRPr="009132AA">
        <w:rPr>
          <w:rFonts w:ascii="Calibri" w:eastAsiaTheme="majorEastAsia" w:hAnsi="Calibri" w:cs="Calibri"/>
          <w:sz w:val="22"/>
          <w:szCs w:val="22"/>
          <w:lang w:eastAsia="it-IT"/>
        </w:rPr>
        <w:t>bio</w:t>
      </w:r>
      <w:proofErr w:type="spellEnd"/>
      <w:r w:rsidRPr="009132AA">
        <w:rPr>
          <w:rFonts w:ascii="Calibri" w:eastAsiaTheme="majorEastAsia" w:hAnsi="Calibri" w:cs="Calibri"/>
          <w:sz w:val="22"/>
          <w:szCs w:val="22"/>
          <w:lang w:eastAsia="it-IT"/>
        </w:rPr>
        <w:t xml:space="preserve">? Innanzitutto, il 27% dei consumatori italiani ritiene i prodotti </w:t>
      </w:r>
      <w:proofErr w:type="spellStart"/>
      <w:r w:rsidRPr="009132AA">
        <w:rPr>
          <w:rFonts w:ascii="Calibri" w:eastAsiaTheme="majorEastAsia" w:hAnsi="Calibri" w:cs="Calibri"/>
          <w:sz w:val="22"/>
          <w:szCs w:val="22"/>
          <w:lang w:eastAsia="it-IT"/>
        </w:rPr>
        <w:t>bio</w:t>
      </w:r>
      <w:proofErr w:type="spellEnd"/>
      <w:r w:rsidRPr="009132AA">
        <w:rPr>
          <w:rFonts w:ascii="Calibri" w:eastAsiaTheme="majorEastAsia" w:hAnsi="Calibri" w:cs="Calibri"/>
          <w:sz w:val="22"/>
          <w:szCs w:val="22"/>
          <w:lang w:eastAsia="it-IT"/>
        </w:rPr>
        <w:t xml:space="preserve"> più sicuri per la salute rispetto all’opzione convenzionale, ma anche perché sono sostenibili (il 23% li ritiene più rispettosi dell’ambiente, il 10% del benessere animale e un ulteriore 10% fa riferimento alla sostenibilità sociale e intende sostenere i piccoli produttori).</w:t>
      </w:r>
    </w:p>
    <w:p w14:paraId="7834ABE0" w14:textId="77777777" w:rsidR="008F6769" w:rsidRPr="00A604E1" w:rsidRDefault="008F6769" w:rsidP="008F6769">
      <w:pPr>
        <w:rPr>
          <w:rFonts w:ascii="Calibri" w:hAnsi="Calibri" w:cs="Calibri"/>
        </w:rPr>
      </w:pPr>
    </w:p>
    <w:p w14:paraId="17B29BD3" w14:textId="77777777" w:rsidR="008F6769" w:rsidRDefault="008F6769" w:rsidP="008F6769">
      <w:pPr>
        <w:rPr>
          <w:rFonts w:ascii="Calibri" w:hAnsi="Calibri" w:cs="Calibri"/>
          <w:b/>
          <w:bCs/>
        </w:rPr>
      </w:pPr>
    </w:p>
    <w:p w14:paraId="2B16E5AC" w14:textId="77777777" w:rsidR="009132AA" w:rsidRPr="00A604E1" w:rsidRDefault="009132AA" w:rsidP="008F6769">
      <w:pPr>
        <w:rPr>
          <w:rFonts w:ascii="Calibri" w:hAnsi="Calibri" w:cs="Calibri"/>
          <w:b/>
          <w:bCs/>
        </w:rPr>
      </w:pPr>
    </w:p>
    <w:p w14:paraId="3A10B369" w14:textId="77777777" w:rsidR="008F6769" w:rsidRPr="00A604E1" w:rsidRDefault="008F6769" w:rsidP="008F6769">
      <w:pPr>
        <w:rPr>
          <w:rFonts w:ascii="Calibri" w:hAnsi="Calibri" w:cs="Calibri"/>
          <w:b/>
          <w:bCs/>
        </w:rPr>
      </w:pPr>
      <w:r w:rsidRPr="00A604E1">
        <w:rPr>
          <w:rFonts w:ascii="Calibri" w:hAnsi="Calibri" w:cs="Calibri"/>
          <w:b/>
          <w:bCs/>
        </w:rPr>
        <w:lastRenderedPageBreak/>
        <w:t>VALORI DEL BIO E IL RUOLO DELLA CONSAPEVOLEZZA DEL CONSUMATORE</w:t>
      </w:r>
    </w:p>
    <w:p w14:paraId="2DBFA11B" w14:textId="77777777" w:rsidR="008F6769" w:rsidRPr="009132AA" w:rsidRDefault="008F6769" w:rsidP="008F6769">
      <w:pPr>
        <w:shd w:val="clear" w:color="auto" w:fill="FFFFFF"/>
        <w:spacing w:line="276" w:lineRule="auto"/>
        <w:jc w:val="both"/>
        <w:rPr>
          <w:rFonts w:ascii="Calibri" w:eastAsiaTheme="majorEastAsia" w:hAnsi="Calibri" w:cs="Calibri"/>
          <w:sz w:val="22"/>
          <w:szCs w:val="22"/>
          <w:lang w:eastAsia="it-IT"/>
        </w:rPr>
      </w:pPr>
      <w:r w:rsidRPr="009132AA">
        <w:rPr>
          <w:rFonts w:ascii="Calibri" w:eastAsiaTheme="majorEastAsia" w:hAnsi="Calibri" w:cs="Calibri"/>
          <w:sz w:val="22"/>
          <w:szCs w:val="22"/>
          <w:lang w:eastAsia="it-IT"/>
        </w:rPr>
        <w:t>Il monitoraggio condotto da Nomisma evidenzia chiaramente alcune aree di lavoro fondamentali per la categoria, coerentemente con gli obiettivi di sostenibilità dell’Agenda 2030 – con particolare riferimento al Goal 12.8 che ambisce entro il 2030, ad abilitare tutte le persone, in ogni parte del mondo, ad accedere ad informazioni rilevanti e ad acquisire giusta consapevolezza dello sviluppo sostenibile e di uno stile di vita in armonia con la natura.</w:t>
      </w:r>
    </w:p>
    <w:p w14:paraId="2B945A1B" w14:textId="77777777" w:rsidR="008F6769" w:rsidRPr="009132AA" w:rsidRDefault="008F6769" w:rsidP="008F6769">
      <w:pPr>
        <w:shd w:val="clear" w:color="auto" w:fill="FFFFFF"/>
        <w:spacing w:line="276" w:lineRule="auto"/>
        <w:jc w:val="both"/>
        <w:rPr>
          <w:rFonts w:ascii="Calibri" w:eastAsiaTheme="majorEastAsia" w:hAnsi="Calibri" w:cs="Calibri"/>
          <w:sz w:val="22"/>
          <w:szCs w:val="22"/>
          <w:lang w:eastAsia="it-IT"/>
        </w:rPr>
      </w:pPr>
      <w:r w:rsidRPr="009132AA">
        <w:rPr>
          <w:rFonts w:ascii="Calibri" w:eastAsiaTheme="majorEastAsia" w:hAnsi="Calibri" w:cs="Calibri"/>
          <w:sz w:val="22"/>
          <w:szCs w:val="22"/>
          <w:lang w:eastAsia="it-IT"/>
        </w:rPr>
        <w:t xml:space="preserve">In questa logica la richiesta di conoscenza del consumatore arriva direttamente dal consumatore: il 28% ritiene di non avere informazioni sufficienti per valutare le caratteristiche del prodotto </w:t>
      </w:r>
      <w:proofErr w:type="spellStart"/>
      <w:r w:rsidRPr="009132AA">
        <w:rPr>
          <w:rFonts w:ascii="Calibri" w:eastAsiaTheme="majorEastAsia" w:hAnsi="Calibri" w:cs="Calibri"/>
          <w:sz w:val="22"/>
          <w:szCs w:val="22"/>
          <w:lang w:eastAsia="it-IT"/>
        </w:rPr>
        <w:t>bio</w:t>
      </w:r>
      <w:proofErr w:type="spellEnd"/>
      <w:r w:rsidRPr="009132AA">
        <w:rPr>
          <w:rFonts w:ascii="Calibri" w:eastAsiaTheme="majorEastAsia" w:hAnsi="Calibri" w:cs="Calibri"/>
          <w:sz w:val="22"/>
          <w:szCs w:val="22"/>
          <w:lang w:eastAsia="it-IT"/>
        </w:rPr>
        <w:t xml:space="preserve"> e un ulteriore 57%, nonostante abbia una buona consapevolezza di prodotto, vorrebbe comunque avere maggiori informazioni.</w:t>
      </w:r>
    </w:p>
    <w:p w14:paraId="75519AB7" w14:textId="77777777" w:rsidR="008F6769" w:rsidRDefault="008F6769" w:rsidP="008F6769">
      <w:pPr>
        <w:spacing w:before="100" w:beforeAutospacing="1" w:afterAutospacing="1"/>
        <w:jc w:val="both"/>
        <w:rPr>
          <w:rFonts w:ascii="Calibri" w:eastAsiaTheme="majorEastAsia" w:hAnsi="Calibri" w:cs="Calibri"/>
          <w:lang w:eastAsia="it-IT"/>
        </w:rPr>
      </w:pPr>
      <w:r w:rsidRPr="00A604E1">
        <w:rPr>
          <w:rFonts w:ascii="Calibri" w:eastAsia="Times New Roman" w:hAnsi="Calibri" w:cs="Calibri"/>
          <w:noProof/>
          <w:lang w:eastAsia="it-IT"/>
        </w:rPr>
        <w:drawing>
          <wp:inline distT="0" distB="0" distL="0" distR="0" wp14:anchorId="20DE5494" wp14:editId="0C5F762E">
            <wp:extent cx="5040000" cy="2833200"/>
            <wp:effectExtent l="0" t="0" r="8255" b="5715"/>
            <wp:docPr id="103013900"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3900"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040000" cy="2833200"/>
                    </a:xfrm>
                    <a:prstGeom prst="rect">
                      <a:avLst/>
                    </a:prstGeom>
                  </pic:spPr>
                </pic:pic>
              </a:graphicData>
            </a:graphic>
          </wp:inline>
        </w:drawing>
      </w:r>
    </w:p>
    <w:p w14:paraId="56A967AC" w14:textId="77777777" w:rsidR="008F6769" w:rsidRPr="009132AA" w:rsidRDefault="008F6769" w:rsidP="008F6769">
      <w:pPr>
        <w:spacing w:before="100" w:beforeAutospacing="1" w:afterAutospacing="1"/>
        <w:jc w:val="both"/>
        <w:rPr>
          <w:rFonts w:ascii="Calibri" w:eastAsiaTheme="majorEastAsia" w:hAnsi="Calibri" w:cs="Calibri"/>
          <w:sz w:val="18"/>
          <w:szCs w:val="18"/>
          <w:lang w:eastAsia="it-IT"/>
        </w:rPr>
      </w:pPr>
      <w:r w:rsidRPr="009132AA">
        <w:rPr>
          <w:rFonts w:ascii="Calibri" w:eastAsiaTheme="majorEastAsia" w:hAnsi="Calibri" w:cs="Calibri"/>
          <w:i/>
          <w:iCs/>
          <w:sz w:val="18"/>
          <w:szCs w:val="18"/>
        </w:rPr>
        <w:t>Fonte: Nomisma per BIOFACH – Consumer Survey</w:t>
      </w:r>
    </w:p>
    <w:p w14:paraId="3BFB21CD" w14:textId="77777777" w:rsidR="008F6769" w:rsidRPr="009132AA" w:rsidRDefault="008F6769" w:rsidP="009132AA">
      <w:pPr>
        <w:spacing w:line="276" w:lineRule="auto"/>
        <w:jc w:val="both"/>
        <w:rPr>
          <w:rFonts w:ascii="Calibri" w:eastAsiaTheme="majorEastAsia" w:hAnsi="Calibri" w:cs="Calibri"/>
          <w:sz w:val="22"/>
          <w:szCs w:val="22"/>
          <w:lang w:eastAsia="it-IT"/>
        </w:rPr>
      </w:pPr>
      <w:r w:rsidRPr="009132AA">
        <w:rPr>
          <w:rFonts w:ascii="Calibri" w:eastAsiaTheme="majorEastAsia" w:hAnsi="Calibri" w:cs="Calibri"/>
          <w:sz w:val="22"/>
          <w:szCs w:val="22"/>
          <w:lang w:eastAsia="it-IT"/>
        </w:rPr>
        <w:t xml:space="preserve">La necessità di maggiori informazioni sulle caratteristiche dei prodotti </w:t>
      </w:r>
      <w:proofErr w:type="spellStart"/>
      <w:r w:rsidRPr="009132AA">
        <w:rPr>
          <w:rFonts w:ascii="Calibri" w:eastAsiaTheme="majorEastAsia" w:hAnsi="Calibri" w:cs="Calibri"/>
          <w:sz w:val="22"/>
          <w:szCs w:val="22"/>
          <w:lang w:eastAsia="it-IT"/>
        </w:rPr>
        <w:t>bio</w:t>
      </w:r>
      <w:proofErr w:type="spellEnd"/>
      <w:r w:rsidRPr="009132AA">
        <w:rPr>
          <w:rFonts w:ascii="Calibri" w:eastAsiaTheme="majorEastAsia" w:hAnsi="Calibri" w:cs="Calibri"/>
          <w:sz w:val="22"/>
          <w:szCs w:val="22"/>
          <w:lang w:eastAsia="it-IT"/>
        </w:rPr>
        <w:t xml:space="preserve"> e le garanzie sottese alla certificazione riguardano molti aspetti. Innanzitutto, il consumatore richiede di entrare nel merito della comprensione delle differenze esistenti tra il prodotto </w:t>
      </w:r>
      <w:proofErr w:type="spellStart"/>
      <w:r w:rsidRPr="009132AA">
        <w:rPr>
          <w:rFonts w:ascii="Calibri" w:eastAsiaTheme="majorEastAsia" w:hAnsi="Calibri" w:cs="Calibri"/>
          <w:sz w:val="22"/>
          <w:szCs w:val="22"/>
          <w:lang w:eastAsia="it-IT"/>
        </w:rPr>
        <w:t>bio</w:t>
      </w:r>
      <w:proofErr w:type="spellEnd"/>
      <w:r w:rsidRPr="009132AA">
        <w:rPr>
          <w:rFonts w:ascii="Calibri" w:eastAsiaTheme="majorEastAsia" w:hAnsi="Calibri" w:cs="Calibri"/>
          <w:sz w:val="22"/>
          <w:szCs w:val="22"/>
          <w:lang w:eastAsia="it-IT"/>
        </w:rPr>
        <w:t xml:space="preserve"> e quello convenzionale (per l’85% degli intervistati), del profilo di sostenibilità collegato al metodo di produzione biologica (72%), dei vantaggi concreti del metodo </w:t>
      </w:r>
      <w:proofErr w:type="spellStart"/>
      <w:r w:rsidRPr="009132AA">
        <w:rPr>
          <w:rFonts w:ascii="Calibri" w:eastAsiaTheme="majorEastAsia" w:hAnsi="Calibri" w:cs="Calibri"/>
          <w:sz w:val="22"/>
          <w:szCs w:val="22"/>
          <w:lang w:eastAsia="it-IT"/>
        </w:rPr>
        <w:t>bio</w:t>
      </w:r>
      <w:proofErr w:type="spellEnd"/>
      <w:r w:rsidRPr="009132AA">
        <w:rPr>
          <w:rFonts w:ascii="Calibri" w:eastAsiaTheme="majorEastAsia" w:hAnsi="Calibri" w:cs="Calibri"/>
          <w:sz w:val="22"/>
          <w:szCs w:val="22"/>
          <w:lang w:eastAsia="it-IT"/>
        </w:rPr>
        <w:t xml:space="preserve"> per l’ambiente (75%). </w:t>
      </w:r>
    </w:p>
    <w:p w14:paraId="2C4C9A07" w14:textId="77777777" w:rsidR="008F6769" w:rsidRPr="009132AA" w:rsidRDefault="008F6769" w:rsidP="009132AA">
      <w:pPr>
        <w:spacing w:line="276" w:lineRule="auto"/>
        <w:jc w:val="both"/>
        <w:rPr>
          <w:rFonts w:ascii="Calibri" w:eastAsiaTheme="majorEastAsia" w:hAnsi="Calibri" w:cs="Calibri"/>
          <w:sz w:val="22"/>
          <w:szCs w:val="22"/>
          <w:lang w:eastAsia="it-IT"/>
        </w:rPr>
      </w:pPr>
      <w:r w:rsidRPr="009132AA">
        <w:rPr>
          <w:rFonts w:ascii="Calibri" w:eastAsiaTheme="majorEastAsia" w:hAnsi="Calibri" w:cs="Calibri"/>
          <w:sz w:val="22"/>
          <w:szCs w:val="22"/>
          <w:lang w:eastAsia="it-IT"/>
        </w:rPr>
        <w:t xml:space="preserve">A questo riguardo, la maggioranza dei consumatori che hanno avuto modo di partecipare ad iniziative sul punto vendita ha ritenuto le attività informative e di comunicazione sono state utili ad approfondire le caratteristiche e le garanzie offerte dal marchio biologico. In particolare, il 98% degli italiani ha trovato utile </w:t>
      </w:r>
      <w:r w:rsidRPr="009132AA">
        <w:rPr>
          <w:rFonts w:ascii="Calibri" w:eastAsiaTheme="majorEastAsia" w:hAnsi="Calibri" w:cs="Calibri"/>
          <w:sz w:val="22"/>
          <w:szCs w:val="22"/>
          <w:lang w:eastAsia="it-IT"/>
        </w:rPr>
        <w:lastRenderedPageBreak/>
        <w:t>l’iniziativa per comprendere meglio le differenze tra prodotti biologici e convenzionali, mentre l’88% ha avuto modo di comprendere le garanzie offerte dal marchio.</w:t>
      </w:r>
    </w:p>
    <w:p w14:paraId="11BDCF3E" w14:textId="77777777" w:rsidR="008F6769" w:rsidRPr="009132AA" w:rsidRDefault="008F6769" w:rsidP="009132AA">
      <w:pPr>
        <w:spacing w:line="276" w:lineRule="auto"/>
        <w:jc w:val="both"/>
        <w:rPr>
          <w:rFonts w:ascii="Calibri" w:eastAsiaTheme="majorEastAsia" w:hAnsi="Calibri" w:cs="Calibri"/>
          <w:sz w:val="22"/>
          <w:szCs w:val="22"/>
          <w:lang w:eastAsia="it-IT"/>
        </w:rPr>
      </w:pPr>
    </w:p>
    <w:p w14:paraId="39C4490D" w14:textId="77777777" w:rsidR="008F6769" w:rsidRPr="009132AA" w:rsidRDefault="008F6769" w:rsidP="009132AA">
      <w:pPr>
        <w:spacing w:line="276" w:lineRule="auto"/>
        <w:jc w:val="both"/>
        <w:rPr>
          <w:rFonts w:ascii="Calibri" w:eastAsiaTheme="majorEastAsia" w:hAnsi="Calibri" w:cs="Calibri"/>
          <w:sz w:val="22"/>
          <w:szCs w:val="22"/>
          <w:lang w:eastAsia="it-IT"/>
        </w:rPr>
      </w:pPr>
    </w:p>
    <w:p w14:paraId="203B817D" w14:textId="77777777" w:rsidR="001F54F6" w:rsidRPr="0023280E" w:rsidRDefault="001F54F6" w:rsidP="005A1D50">
      <w:pPr>
        <w:rPr>
          <w:rFonts w:ascii="Verdana" w:hAnsi="Verdana"/>
          <w:color w:val="FFFFFF"/>
          <w:sz w:val="23"/>
          <w:szCs w:val="23"/>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5A1D50" w:rsidRPr="0023280E" w14:paraId="440BC2EC" w14:textId="77777777" w:rsidTr="003A1993">
        <w:tc>
          <w:tcPr>
            <w:tcW w:w="9061" w:type="dxa"/>
          </w:tcPr>
          <w:p w14:paraId="07018F23" w14:textId="77777777" w:rsidR="005A1D50" w:rsidRPr="00BD1313" w:rsidRDefault="005A1D50" w:rsidP="00386FC5">
            <w:pPr>
              <w:spacing w:line="276" w:lineRule="auto"/>
              <w:jc w:val="both"/>
              <w:rPr>
                <w:rFonts w:ascii="Verdana" w:hAnsi="Verdana" w:cstheme="majorHAnsi"/>
                <w:bCs/>
                <w:i/>
                <w:iCs/>
                <w:sz w:val="20"/>
                <w:szCs w:val="20"/>
              </w:rPr>
            </w:pPr>
          </w:p>
          <w:p w14:paraId="26F0A293" w14:textId="77777777" w:rsidR="00386FC5" w:rsidRPr="00BD1313" w:rsidRDefault="00386FC5" w:rsidP="00386FC5">
            <w:pPr>
              <w:spacing w:line="276" w:lineRule="auto"/>
              <w:jc w:val="both"/>
              <w:rPr>
                <w:rFonts w:ascii="Verdana" w:hAnsi="Verdana" w:cstheme="majorHAnsi"/>
                <w:b/>
                <w:bCs/>
                <w:i/>
                <w:iCs/>
                <w:sz w:val="20"/>
                <w:szCs w:val="20"/>
                <w:lang w:val="en-GB"/>
              </w:rPr>
            </w:pPr>
            <w:r w:rsidRPr="00BD1313">
              <w:rPr>
                <w:rFonts w:ascii="Verdana" w:hAnsi="Verdana" w:cstheme="majorHAnsi"/>
                <w:b/>
                <w:bCs/>
                <w:i/>
                <w:iCs/>
                <w:sz w:val="20"/>
                <w:szCs w:val="20"/>
                <w:lang w:val="en-GB"/>
              </w:rPr>
              <w:t>BEING ORGANIC in EU</w:t>
            </w:r>
          </w:p>
          <w:p w14:paraId="7899AE93" w14:textId="77777777" w:rsidR="00386FC5" w:rsidRPr="00BD1313" w:rsidRDefault="00386FC5" w:rsidP="00386FC5">
            <w:pPr>
              <w:spacing w:line="276" w:lineRule="auto"/>
              <w:jc w:val="both"/>
              <w:rPr>
                <w:rFonts w:ascii="Verdana" w:hAnsi="Verdana" w:cstheme="majorHAnsi"/>
                <w:b/>
                <w:bCs/>
                <w:i/>
                <w:iCs/>
                <w:sz w:val="20"/>
                <w:szCs w:val="20"/>
                <w:lang w:val="en-GB"/>
              </w:rPr>
            </w:pPr>
            <w:r w:rsidRPr="00BD1313">
              <w:rPr>
                <w:rFonts w:ascii="Verdana" w:hAnsi="Verdana" w:cstheme="majorHAnsi"/>
                <w:b/>
                <w:bCs/>
                <w:i/>
                <w:iCs/>
                <w:sz w:val="20"/>
                <w:szCs w:val="20"/>
                <w:lang w:val="en-GB"/>
              </w:rPr>
              <w:t>Choose the European Organic Leaf for a better world.</w:t>
            </w:r>
          </w:p>
          <w:p w14:paraId="3ACB410D" w14:textId="77777777" w:rsidR="00386FC5" w:rsidRPr="00BD1313" w:rsidRDefault="00386FC5" w:rsidP="00386FC5">
            <w:pPr>
              <w:spacing w:line="276" w:lineRule="auto"/>
              <w:jc w:val="both"/>
              <w:rPr>
                <w:rFonts w:ascii="Verdana" w:hAnsi="Verdana" w:cstheme="majorHAnsi"/>
                <w:b/>
                <w:bCs/>
                <w:i/>
                <w:iCs/>
                <w:sz w:val="20"/>
                <w:szCs w:val="20"/>
                <w:lang w:val="en-GB"/>
              </w:rPr>
            </w:pPr>
          </w:p>
          <w:p w14:paraId="76B6F4F8" w14:textId="1ADB40CD" w:rsidR="00386FC5" w:rsidRDefault="00386FC5" w:rsidP="00386FC5">
            <w:pPr>
              <w:spacing w:line="276" w:lineRule="auto"/>
              <w:jc w:val="both"/>
              <w:rPr>
                <w:rFonts w:ascii="Verdana" w:hAnsi="Verdana" w:cstheme="majorHAnsi"/>
                <w:bCs/>
                <w:i/>
                <w:iCs/>
                <w:sz w:val="20"/>
                <w:szCs w:val="20"/>
              </w:rPr>
            </w:pPr>
            <w:r w:rsidRPr="00BD1313">
              <w:rPr>
                <w:rFonts w:ascii="Verdana" w:hAnsi="Verdana" w:cstheme="majorHAnsi"/>
                <w:bCs/>
                <w:i/>
                <w:iCs/>
                <w:sz w:val="20"/>
                <w:szCs w:val="20"/>
              </w:rPr>
              <w:t xml:space="preserve">Il progetto BEING ORGANIC in EU è una campagna di promozione proposta da FederBio in collaborazione con </w:t>
            </w:r>
            <w:proofErr w:type="spellStart"/>
            <w:r w:rsidRPr="00BD1313">
              <w:rPr>
                <w:rFonts w:ascii="Verdana" w:hAnsi="Verdana" w:cstheme="majorHAnsi"/>
                <w:bCs/>
                <w:i/>
                <w:iCs/>
                <w:sz w:val="20"/>
                <w:szCs w:val="20"/>
              </w:rPr>
              <w:t>Naturland</w:t>
            </w:r>
            <w:proofErr w:type="spellEnd"/>
            <w:r w:rsidRPr="00BD1313">
              <w:rPr>
                <w:rFonts w:ascii="Verdana" w:hAnsi="Verdana" w:cstheme="majorHAnsi"/>
                <w:bCs/>
                <w:i/>
                <w:iCs/>
                <w:sz w:val="20"/>
                <w:szCs w:val="20"/>
              </w:rPr>
              <w:t xml:space="preserve"> cofinanziata dall’Unione Europea ai sensi del regolamento UE n.1144/2014 e prevede un insieme articolato di azioni con l’obiettivo di migliorare la conoscenza, il prestigio e il consumo dei prodotti ortofrutticoli biologici verso i due paesi target: Italia e Germania.  “BEING ORGANIC in EU” mira a contribuire ad un sistema agroalimentare sostenibile a sostegno del “Green Deal Europeo” e delle strategie “Farm to </w:t>
            </w:r>
            <w:proofErr w:type="spellStart"/>
            <w:r w:rsidRPr="00BD1313">
              <w:rPr>
                <w:rFonts w:ascii="Verdana" w:hAnsi="Verdana" w:cstheme="majorHAnsi"/>
                <w:bCs/>
                <w:i/>
                <w:iCs/>
                <w:sz w:val="20"/>
                <w:szCs w:val="20"/>
              </w:rPr>
              <w:t>Fork</w:t>
            </w:r>
            <w:proofErr w:type="spellEnd"/>
            <w:r w:rsidRPr="00BD1313">
              <w:rPr>
                <w:rFonts w:ascii="Verdana" w:hAnsi="Verdana" w:cstheme="majorHAnsi"/>
                <w:bCs/>
                <w:i/>
                <w:iCs/>
                <w:sz w:val="20"/>
                <w:szCs w:val="20"/>
              </w:rPr>
              <w:t>” e “Biodiversità 2030” per favorire un sistema alimentare etico, salutare, resiliente dal punto di vista climatico ed ecologico e a mettere in risalto le caratteristiche virtuose dell’agricoltura biologica europea, sia in termini di qualità del prodotto sia di sostenibilità, dalla produzione primaria fino al consumatore. Per queste ragioni le iniziative messe in campo dal progetto sono del tutto in linea con gli obiettivi dell’“</w:t>
            </w:r>
            <w:proofErr w:type="spellStart"/>
            <w:r w:rsidRPr="00BD1313">
              <w:rPr>
                <w:rFonts w:ascii="Verdana" w:hAnsi="Verdana" w:cstheme="majorHAnsi"/>
                <w:bCs/>
                <w:i/>
                <w:iCs/>
                <w:sz w:val="20"/>
                <w:szCs w:val="20"/>
              </w:rPr>
              <w:t>European</w:t>
            </w:r>
            <w:proofErr w:type="spellEnd"/>
            <w:r w:rsidRPr="00BD1313">
              <w:rPr>
                <w:rFonts w:ascii="Verdana" w:hAnsi="Verdana" w:cstheme="majorHAnsi"/>
                <w:bCs/>
                <w:i/>
                <w:iCs/>
                <w:sz w:val="20"/>
                <w:szCs w:val="20"/>
              </w:rPr>
              <w:t xml:space="preserve"> Green Deal” e le sue strategie e funzionali alla realizzazione dal “Piano d’azione europeo per lo sviluppo dell’agricoltura biologica”.</w:t>
            </w:r>
          </w:p>
          <w:p w14:paraId="6851C263" w14:textId="239B4438" w:rsidR="00C2652A" w:rsidRDefault="00C2652A" w:rsidP="00386FC5">
            <w:pPr>
              <w:spacing w:line="276" w:lineRule="auto"/>
              <w:jc w:val="both"/>
              <w:rPr>
                <w:rFonts w:ascii="Verdana" w:hAnsi="Verdana" w:cstheme="majorHAnsi"/>
                <w:bCs/>
                <w:i/>
                <w:iCs/>
                <w:sz w:val="20"/>
                <w:szCs w:val="20"/>
              </w:rPr>
            </w:pPr>
          </w:p>
          <w:p w14:paraId="2C37A5A1" w14:textId="37D90943" w:rsidR="00C2652A" w:rsidRPr="00C2652A" w:rsidRDefault="00C2652A" w:rsidP="00C2652A">
            <w:pPr>
              <w:spacing w:line="288" w:lineRule="auto"/>
              <w:jc w:val="both"/>
              <w:rPr>
                <w:rFonts w:ascii="Verdana" w:hAnsi="Verdana"/>
                <w:sz w:val="22"/>
                <w:szCs w:val="22"/>
              </w:rPr>
            </w:pPr>
          </w:p>
          <w:p w14:paraId="1694D7E3" w14:textId="77777777" w:rsidR="00C2652A" w:rsidRPr="00BD1313" w:rsidRDefault="00C2652A" w:rsidP="00386FC5">
            <w:pPr>
              <w:spacing w:line="276" w:lineRule="auto"/>
              <w:jc w:val="both"/>
              <w:rPr>
                <w:rFonts w:ascii="Verdana" w:hAnsi="Verdana" w:cstheme="majorHAnsi"/>
                <w:bCs/>
                <w:i/>
                <w:iCs/>
                <w:sz w:val="20"/>
                <w:szCs w:val="20"/>
              </w:rPr>
            </w:pPr>
          </w:p>
          <w:p w14:paraId="61DCF3E0" w14:textId="77777777" w:rsidR="005A1D50" w:rsidRPr="0023280E" w:rsidRDefault="005A1D50" w:rsidP="00386FC5">
            <w:pPr>
              <w:spacing w:line="276" w:lineRule="auto"/>
              <w:jc w:val="both"/>
              <w:rPr>
                <w:rFonts w:ascii="Verdana" w:hAnsi="Verdana" w:cstheme="majorHAnsi"/>
                <w:bCs/>
                <w:i/>
                <w:iCs/>
              </w:rPr>
            </w:pPr>
          </w:p>
          <w:p w14:paraId="7484C11F" w14:textId="77777777" w:rsidR="005A1D50" w:rsidRPr="0023280E" w:rsidRDefault="005A1D50" w:rsidP="00386FC5">
            <w:pPr>
              <w:spacing w:line="276" w:lineRule="auto"/>
              <w:jc w:val="both"/>
              <w:rPr>
                <w:rFonts w:ascii="Verdana" w:hAnsi="Verdana" w:cstheme="majorHAnsi"/>
                <w:bCs/>
                <w:i/>
                <w:iCs/>
              </w:rPr>
            </w:pPr>
          </w:p>
          <w:p w14:paraId="23F1BFEB" w14:textId="77777777" w:rsidR="005A1D50" w:rsidRPr="0023280E" w:rsidRDefault="005A1D50" w:rsidP="00386FC5">
            <w:pPr>
              <w:spacing w:line="276" w:lineRule="auto"/>
              <w:jc w:val="both"/>
              <w:rPr>
                <w:rFonts w:ascii="Verdana" w:hAnsi="Verdana" w:cstheme="majorHAnsi"/>
                <w:bCs/>
                <w:i/>
                <w:iCs/>
              </w:rPr>
            </w:pPr>
          </w:p>
          <w:p w14:paraId="0C5C6561" w14:textId="77777777" w:rsidR="005A1D50" w:rsidRPr="0023280E" w:rsidRDefault="005A1D50" w:rsidP="00386FC5">
            <w:pPr>
              <w:spacing w:line="276" w:lineRule="auto"/>
              <w:jc w:val="both"/>
              <w:rPr>
                <w:rFonts w:ascii="Verdana" w:hAnsi="Verdana" w:cstheme="majorHAnsi"/>
                <w:bCs/>
                <w:i/>
                <w:iCs/>
              </w:rPr>
            </w:pPr>
          </w:p>
          <w:p w14:paraId="4FA9E6E5" w14:textId="77777777" w:rsidR="005A1D50" w:rsidRPr="0023280E" w:rsidRDefault="005A1D50" w:rsidP="00386FC5">
            <w:pPr>
              <w:spacing w:line="276" w:lineRule="auto"/>
              <w:jc w:val="both"/>
              <w:rPr>
                <w:rFonts w:ascii="Verdana" w:hAnsi="Verdana" w:cstheme="majorHAnsi"/>
                <w:bCs/>
                <w:i/>
                <w:iCs/>
              </w:rPr>
            </w:pPr>
          </w:p>
        </w:tc>
      </w:tr>
    </w:tbl>
    <w:p w14:paraId="1842A110" w14:textId="77777777" w:rsidR="00FD4C0B" w:rsidRPr="0023280E" w:rsidRDefault="00FD4C0B" w:rsidP="00FD4C0B">
      <w:pPr>
        <w:rPr>
          <w:rFonts w:ascii="Verdana" w:hAnsi="Verdana"/>
        </w:rPr>
      </w:pPr>
    </w:p>
    <w:p w14:paraId="4F29AE6A" w14:textId="77777777" w:rsidR="00FD4C0B" w:rsidRPr="0023280E" w:rsidRDefault="00FD4C0B" w:rsidP="00FD4C0B">
      <w:pPr>
        <w:rPr>
          <w:rFonts w:ascii="Verdana" w:hAnsi="Verdana"/>
        </w:rPr>
      </w:pPr>
    </w:p>
    <w:p w14:paraId="0D14FCEA" w14:textId="77777777" w:rsidR="00FD4C0B" w:rsidRPr="0023280E" w:rsidRDefault="00FD4C0B" w:rsidP="00FD4C0B">
      <w:pPr>
        <w:rPr>
          <w:rFonts w:ascii="Verdana" w:hAnsi="Verdana"/>
        </w:rPr>
      </w:pPr>
    </w:p>
    <w:p w14:paraId="79375FC4" w14:textId="77777777" w:rsidR="00FD4C0B" w:rsidRPr="0023280E" w:rsidRDefault="00FD4C0B" w:rsidP="00FD4C0B">
      <w:pPr>
        <w:rPr>
          <w:rFonts w:ascii="Verdana" w:hAnsi="Verdana"/>
        </w:rPr>
      </w:pPr>
    </w:p>
    <w:p w14:paraId="6A175AFD" w14:textId="77777777" w:rsidR="00FD4C0B" w:rsidRPr="0023280E" w:rsidRDefault="00FD4C0B" w:rsidP="00FD4C0B">
      <w:pPr>
        <w:rPr>
          <w:rFonts w:ascii="Verdana" w:hAnsi="Verdana"/>
        </w:rPr>
      </w:pPr>
    </w:p>
    <w:sectPr w:rsidR="00FD4C0B" w:rsidRPr="0023280E" w:rsidSect="00A155A7">
      <w:headerReference w:type="default" r:id="rId17"/>
      <w:footerReference w:type="default" r:id="rId18"/>
      <w:pgSz w:w="11906" w:h="16838"/>
      <w:pgMar w:top="1440" w:right="1080" w:bottom="269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7F60D" w14:textId="77777777" w:rsidR="00A155A7" w:rsidRDefault="00A155A7" w:rsidP="004B1525">
      <w:r>
        <w:separator/>
      </w:r>
    </w:p>
  </w:endnote>
  <w:endnote w:type="continuationSeparator" w:id="0">
    <w:p w14:paraId="5A3C404C" w14:textId="77777777" w:rsidR="00A155A7" w:rsidRDefault="00A155A7" w:rsidP="004B1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Lucida Grande">
    <w:altName w:val="Arial"/>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87E78" w14:textId="77777777" w:rsidR="004B1525" w:rsidRDefault="00116BBD" w:rsidP="00FA6B25">
    <w:pPr>
      <w:pStyle w:val="Pidipagina"/>
      <w:tabs>
        <w:tab w:val="clear" w:pos="4819"/>
        <w:tab w:val="clear" w:pos="9638"/>
        <w:tab w:val="left" w:pos="754"/>
      </w:tabs>
      <w:ind w:left="4819" w:hanging="4819"/>
    </w:pPr>
    <w:r>
      <w:rPr>
        <w:noProof/>
        <w:lang w:eastAsia="it-IT"/>
      </w:rPr>
      <w:drawing>
        <wp:anchor distT="0" distB="0" distL="114300" distR="114300" simplePos="0" relativeHeight="251655168" behindDoc="1" locked="0" layoutInCell="1" allowOverlap="1" wp14:anchorId="461F3195" wp14:editId="35BE054F">
          <wp:simplePos x="0" y="0"/>
          <wp:positionH relativeFrom="column">
            <wp:posOffset>1384300</wp:posOffset>
          </wp:positionH>
          <wp:positionV relativeFrom="paragraph">
            <wp:posOffset>-50800</wp:posOffset>
          </wp:positionV>
          <wp:extent cx="377190" cy="455154"/>
          <wp:effectExtent l="0" t="0" r="381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
                    <a:extLst>
                      <a:ext uri="{28A0092B-C50C-407E-A947-70E740481C1C}">
                        <a14:useLocalDpi xmlns:a14="http://schemas.microsoft.com/office/drawing/2010/main" val="0"/>
                      </a:ext>
                    </a:extLst>
                  </a:blip>
                  <a:stretch>
                    <a:fillRect/>
                  </a:stretch>
                </pic:blipFill>
                <pic:spPr>
                  <a:xfrm>
                    <a:off x="0" y="0"/>
                    <a:ext cx="377190" cy="455154"/>
                  </a:xfrm>
                  <a:prstGeom prst="rect">
                    <a:avLst/>
                  </a:prstGeom>
                </pic:spPr>
              </pic:pic>
            </a:graphicData>
          </a:graphic>
        </wp:anchor>
      </w:drawing>
    </w:r>
    <w:r w:rsidR="007422A9">
      <w:rPr>
        <w:noProof/>
        <w:lang w:eastAsia="it-IT"/>
      </w:rPr>
      <w:drawing>
        <wp:anchor distT="0" distB="0" distL="114300" distR="114300" simplePos="0" relativeHeight="251656192" behindDoc="0" locked="0" layoutInCell="1" allowOverlap="1" wp14:anchorId="55DE7BEB" wp14:editId="5344C681">
          <wp:simplePos x="0" y="0"/>
          <wp:positionH relativeFrom="column">
            <wp:posOffset>5424261</wp:posOffset>
          </wp:positionH>
          <wp:positionV relativeFrom="paragraph">
            <wp:posOffset>-946785</wp:posOffset>
          </wp:positionV>
          <wp:extent cx="786765" cy="1544955"/>
          <wp:effectExtent l="0" t="0" r="635"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2">
                    <a:extLst>
                      <a:ext uri="{28A0092B-C50C-407E-A947-70E740481C1C}">
                        <a14:useLocalDpi xmlns:a14="http://schemas.microsoft.com/office/drawing/2010/main" val="0"/>
                      </a:ext>
                    </a:extLst>
                  </a:blip>
                  <a:srcRect l="68944" r="2398"/>
                  <a:stretch/>
                </pic:blipFill>
                <pic:spPr bwMode="auto">
                  <a:xfrm>
                    <a:off x="0" y="0"/>
                    <a:ext cx="786765" cy="15449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6D7F39">
      <w:rPr>
        <w:noProof/>
        <w:lang w:eastAsia="it-IT"/>
      </w:rPr>
      <w:drawing>
        <wp:anchor distT="0" distB="0" distL="114300" distR="114300" simplePos="0" relativeHeight="251657216" behindDoc="1" locked="0" layoutInCell="1" allowOverlap="1" wp14:anchorId="10801E6E" wp14:editId="1E1C1417">
          <wp:simplePos x="0" y="0"/>
          <wp:positionH relativeFrom="column">
            <wp:posOffset>2579642</wp:posOffset>
          </wp:positionH>
          <wp:positionV relativeFrom="paragraph">
            <wp:posOffset>-29210</wp:posOffset>
          </wp:positionV>
          <wp:extent cx="1953796" cy="405793"/>
          <wp:effectExtent l="0" t="0" r="0" b="63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3">
                    <a:extLst>
                      <a:ext uri="{28A0092B-C50C-407E-A947-70E740481C1C}">
                        <a14:useLocalDpi xmlns:a14="http://schemas.microsoft.com/office/drawing/2010/main" val="0"/>
                      </a:ext>
                    </a:extLst>
                  </a:blip>
                  <a:stretch>
                    <a:fillRect/>
                  </a:stretch>
                </pic:blipFill>
                <pic:spPr>
                  <a:xfrm>
                    <a:off x="0" y="0"/>
                    <a:ext cx="1953796" cy="405793"/>
                  </a:xfrm>
                  <a:prstGeom prst="rect">
                    <a:avLst/>
                  </a:prstGeom>
                </pic:spPr>
              </pic:pic>
            </a:graphicData>
          </a:graphic>
        </wp:anchor>
      </w:drawing>
    </w:r>
    <w:r w:rsidR="006D7F39">
      <w:rPr>
        <w:noProof/>
        <w:lang w:eastAsia="it-IT"/>
      </w:rPr>
      <w:drawing>
        <wp:anchor distT="0" distB="0" distL="114300" distR="114300" simplePos="0" relativeHeight="251658240" behindDoc="1" locked="0" layoutInCell="1" allowOverlap="1" wp14:anchorId="363B7DB0" wp14:editId="23519FC8">
          <wp:simplePos x="0" y="0"/>
          <wp:positionH relativeFrom="column">
            <wp:posOffset>1921510</wp:posOffset>
          </wp:positionH>
          <wp:positionV relativeFrom="paragraph">
            <wp:posOffset>66675</wp:posOffset>
          </wp:positionV>
          <wp:extent cx="443230" cy="293370"/>
          <wp:effectExtent l="0" t="0" r="127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4">
                    <a:extLst>
                      <a:ext uri="{28A0092B-C50C-407E-A947-70E740481C1C}">
                        <a14:useLocalDpi xmlns:a14="http://schemas.microsoft.com/office/drawing/2010/main" val="0"/>
                      </a:ext>
                    </a:extLst>
                  </a:blip>
                  <a:srcRect l="29173" t="30211" r="29004" b="30262"/>
                  <a:stretch/>
                </pic:blipFill>
                <pic:spPr bwMode="auto">
                  <a:xfrm>
                    <a:off x="0" y="0"/>
                    <a:ext cx="443230" cy="2933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FA6B25">
      <w:rPr>
        <w:noProof/>
        <w:lang w:eastAsia="it-IT"/>
      </w:rPr>
      <w:drawing>
        <wp:anchor distT="0" distB="0" distL="114300" distR="114300" simplePos="0" relativeHeight="251659264" behindDoc="1" locked="0" layoutInCell="1" allowOverlap="1" wp14:anchorId="0D6B8324" wp14:editId="7092BA7E">
          <wp:simplePos x="0" y="0"/>
          <wp:positionH relativeFrom="column">
            <wp:posOffset>1</wp:posOffset>
          </wp:positionH>
          <wp:positionV relativeFrom="paragraph">
            <wp:posOffset>96699</wp:posOffset>
          </wp:positionV>
          <wp:extent cx="1262684" cy="265160"/>
          <wp:effectExtent l="0" t="0" r="0" b="1905"/>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rotWithShape="1">
                  <a:blip r:embed="rId5">
                    <a:extLst>
                      <a:ext uri="{28A0092B-C50C-407E-A947-70E740481C1C}">
                        <a14:useLocalDpi xmlns:a14="http://schemas.microsoft.com/office/drawing/2010/main" val="0"/>
                      </a:ext>
                    </a:extLst>
                  </a:blip>
                  <a:srcRect l="7473" t="22451" r="6923" b="23556"/>
                  <a:stretch/>
                </pic:blipFill>
                <pic:spPr bwMode="auto">
                  <a:xfrm>
                    <a:off x="0" y="0"/>
                    <a:ext cx="1280647" cy="26893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FA6B2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F6FCA" w14:textId="77777777" w:rsidR="00A155A7" w:rsidRDefault="00A155A7" w:rsidP="004B1525">
      <w:r>
        <w:separator/>
      </w:r>
    </w:p>
  </w:footnote>
  <w:footnote w:type="continuationSeparator" w:id="0">
    <w:p w14:paraId="26AEF607" w14:textId="77777777" w:rsidR="00A155A7" w:rsidRDefault="00A155A7" w:rsidP="004B15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2F6D1" w14:textId="77777777" w:rsidR="004B1525" w:rsidRDefault="004B1525">
    <w:pPr>
      <w:pStyle w:val="Intestazione"/>
    </w:pPr>
  </w:p>
  <w:p w14:paraId="5B939899" w14:textId="77777777" w:rsidR="004B1525" w:rsidRDefault="004B1525">
    <w:pPr>
      <w:pStyle w:val="Intestazione"/>
    </w:pPr>
    <w:r>
      <w:rPr>
        <w:noProof/>
        <w:lang w:eastAsia="it-IT"/>
      </w:rPr>
      <w:drawing>
        <wp:inline distT="0" distB="0" distL="0" distR="0" wp14:anchorId="3A719DE0" wp14:editId="33C2756A">
          <wp:extent cx="1262380" cy="1103465"/>
          <wp:effectExtent l="0" t="0" r="0" b="190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1">
                    <a:extLst>
                      <a:ext uri="{28A0092B-C50C-407E-A947-70E740481C1C}">
                        <a14:useLocalDpi xmlns:a14="http://schemas.microsoft.com/office/drawing/2010/main" val="0"/>
                      </a:ext>
                    </a:extLst>
                  </a:blip>
                  <a:srcRect l="10694" t="16815" r="10658" b="14439"/>
                  <a:stretch/>
                </pic:blipFill>
                <pic:spPr bwMode="auto">
                  <a:xfrm>
                    <a:off x="0" y="0"/>
                    <a:ext cx="1312701" cy="114745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8521C58" w14:textId="77777777" w:rsidR="004B1525" w:rsidRDefault="004B152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B85700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9D7FF0"/>
    <w:multiLevelType w:val="hybridMultilevel"/>
    <w:tmpl w:val="D258208E"/>
    <w:lvl w:ilvl="0" w:tplc="A5B6BDBC">
      <w:numFmt w:val="bullet"/>
      <w:lvlText w:val="•"/>
      <w:lvlJc w:val="left"/>
      <w:pPr>
        <w:ind w:left="1065" w:hanging="705"/>
      </w:pPr>
      <w:rPr>
        <w:rFonts w:ascii="Calibri Light" w:eastAsia="Times New Roman"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08B5DD4"/>
    <w:multiLevelType w:val="hybridMultilevel"/>
    <w:tmpl w:val="B8985806"/>
    <w:lvl w:ilvl="0" w:tplc="2AD6A852">
      <w:start w:val="1"/>
      <w:numFmt w:val="bullet"/>
      <w:lvlText w:val=""/>
      <w:lvlJc w:val="left"/>
      <w:pPr>
        <w:ind w:left="785" w:hanging="360"/>
      </w:pPr>
      <w:rPr>
        <w:rFonts w:ascii="Wingdings" w:hAnsi="Wingdings" w:hint="default"/>
        <w:color w:val="70AD47" w:themeColor="accent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7726C92"/>
    <w:multiLevelType w:val="hybridMultilevel"/>
    <w:tmpl w:val="DBA4D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3922551">
    <w:abstractNumId w:val="3"/>
  </w:num>
  <w:num w:numId="2" w16cid:durableId="595334042">
    <w:abstractNumId w:val="2"/>
  </w:num>
  <w:num w:numId="3" w16cid:durableId="1473210230">
    <w:abstractNumId w:val="0"/>
  </w:num>
  <w:num w:numId="4" w16cid:durableId="2546352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525"/>
    <w:rsid w:val="00024486"/>
    <w:rsid w:val="0005101F"/>
    <w:rsid w:val="00053159"/>
    <w:rsid w:val="000611A7"/>
    <w:rsid w:val="00070BCA"/>
    <w:rsid w:val="00073389"/>
    <w:rsid w:val="00074990"/>
    <w:rsid w:val="00077CEE"/>
    <w:rsid w:val="000835D1"/>
    <w:rsid w:val="0011061B"/>
    <w:rsid w:val="00110D53"/>
    <w:rsid w:val="00116BBD"/>
    <w:rsid w:val="00122976"/>
    <w:rsid w:val="00122D24"/>
    <w:rsid w:val="00125B7D"/>
    <w:rsid w:val="001739CD"/>
    <w:rsid w:val="00185C0E"/>
    <w:rsid w:val="00186508"/>
    <w:rsid w:val="00187054"/>
    <w:rsid w:val="001924A8"/>
    <w:rsid w:val="001B05C6"/>
    <w:rsid w:val="001B31F5"/>
    <w:rsid w:val="001C3477"/>
    <w:rsid w:val="001D1827"/>
    <w:rsid w:val="001E2CF1"/>
    <w:rsid w:val="001F3261"/>
    <w:rsid w:val="001F54F6"/>
    <w:rsid w:val="0023280E"/>
    <w:rsid w:val="00237B5B"/>
    <w:rsid w:val="00263538"/>
    <w:rsid w:val="00286EC7"/>
    <w:rsid w:val="00296986"/>
    <w:rsid w:val="002D4D02"/>
    <w:rsid w:val="0035629E"/>
    <w:rsid w:val="00360A61"/>
    <w:rsid w:val="00364483"/>
    <w:rsid w:val="00367512"/>
    <w:rsid w:val="00384B15"/>
    <w:rsid w:val="00386FC5"/>
    <w:rsid w:val="003A1E90"/>
    <w:rsid w:val="003B48FA"/>
    <w:rsid w:val="003E6251"/>
    <w:rsid w:val="00403DF1"/>
    <w:rsid w:val="00405326"/>
    <w:rsid w:val="00407633"/>
    <w:rsid w:val="004140C0"/>
    <w:rsid w:val="00432BAC"/>
    <w:rsid w:val="00432E18"/>
    <w:rsid w:val="0043712F"/>
    <w:rsid w:val="00441094"/>
    <w:rsid w:val="00477304"/>
    <w:rsid w:val="0049246A"/>
    <w:rsid w:val="004A23B2"/>
    <w:rsid w:val="004A6E01"/>
    <w:rsid w:val="004A764D"/>
    <w:rsid w:val="004B0C3A"/>
    <w:rsid w:val="004B1525"/>
    <w:rsid w:val="004E7F21"/>
    <w:rsid w:val="004F31EA"/>
    <w:rsid w:val="00510CA4"/>
    <w:rsid w:val="005150D4"/>
    <w:rsid w:val="005A1D50"/>
    <w:rsid w:val="005A4840"/>
    <w:rsid w:val="005D13AE"/>
    <w:rsid w:val="005D28CB"/>
    <w:rsid w:val="00614037"/>
    <w:rsid w:val="006171D9"/>
    <w:rsid w:val="006319D3"/>
    <w:rsid w:val="00634519"/>
    <w:rsid w:val="00643AE3"/>
    <w:rsid w:val="0067078E"/>
    <w:rsid w:val="00681612"/>
    <w:rsid w:val="00681955"/>
    <w:rsid w:val="006854E6"/>
    <w:rsid w:val="006D56DE"/>
    <w:rsid w:val="006D7F39"/>
    <w:rsid w:val="00731ACE"/>
    <w:rsid w:val="007422A9"/>
    <w:rsid w:val="00757ECD"/>
    <w:rsid w:val="007A03F4"/>
    <w:rsid w:val="007B6DAB"/>
    <w:rsid w:val="007F0B3A"/>
    <w:rsid w:val="007F6DD5"/>
    <w:rsid w:val="00806B1A"/>
    <w:rsid w:val="00822C7A"/>
    <w:rsid w:val="0082421D"/>
    <w:rsid w:val="00824FAD"/>
    <w:rsid w:val="0086364F"/>
    <w:rsid w:val="00882702"/>
    <w:rsid w:val="00896EFD"/>
    <w:rsid w:val="008A7DFA"/>
    <w:rsid w:val="008D4F11"/>
    <w:rsid w:val="008F4527"/>
    <w:rsid w:val="008F649C"/>
    <w:rsid w:val="008F6769"/>
    <w:rsid w:val="00903561"/>
    <w:rsid w:val="009132AA"/>
    <w:rsid w:val="0091675A"/>
    <w:rsid w:val="0094197E"/>
    <w:rsid w:val="00947BDA"/>
    <w:rsid w:val="009529F2"/>
    <w:rsid w:val="009A5B06"/>
    <w:rsid w:val="009C2298"/>
    <w:rsid w:val="009D7E86"/>
    <w:rsid w:val="009E27DC"/>
    <w:rsid w:val="009E42ED"/>
    <w:rsid w:val="00A12B5E"/>
    <w:rsid w:val="00A155A7"/>
    <w:rsid w:val="00A15EDB"/>
    <w:rsid w:val="00A30BAC"/>
    <w:rsid w:val="00A4655D"/>
    <w:rsid w:val="00A5745C"/>
    <w:rsid w:val="00AD1CD6"/>
    <w:rsid w:val="00AD38C5"/>
    <w:rsid w:val="00AE53C0"/>
    <w:rsid w:val="00AF174A"/>
    <w:rsid w:val="00B036A8"/>
    <w:rsid w:val="00B21CF0"/>
    <w:rsid w:val="00B4535D"/>
    <w:rsid w:val="00B90956"/>
    <w:rsid w:val="00BD1313"/>
    <w:rsid w:val="00BD7788"/>
    <w:rsid w:val="00BF145D"/>
    <w:rsid w:val="00BF1B7A"/>
    <w:rsid w:val="00C2652A"/>
    <w:rsid w:val="00C43314"/>
    <w:rsid w:val="00C550BE"/>
    <w:rsid w:val="00C67367"/>
    <w:rsid w:val="00C67B23"/>
    <w:rsid w:val="00C70548"/>
    <w:rsid w:val="00C74F90"/>
    <w:rsid w:val="00C86B3D"/>
    <w:rsid w:val="00CE5C8F"/>
    <w:rsid w:val="00CF3A72"/>
    <w:rsid w:val="00D1068D"/>
    <w:rsid w:val="00D13D6D"/>
    <w:rsid w:val="00D22F9F"/>
    <w:rsid w:val="00D261A0"/>
    <w:rsid w:val="00D35E2F"/>
    <w:rsid w:val="00D46497"/>
    <w:rsid w:val="00D85EF3"/>
    <w:rsid w:val="00D97F74"/>
    <w:rsid w:val="00DB1C86"/>
    <w:rsid w:val="00DD05D6"/>
    <w:rsid w:val="00DF26C3"/>
    <w:rsid w:val="00E06770"/>
    <w:rsid w:val="00E130BC"/>
    <w:rsid w:val="00E360F1"/>
    <w:rsid w:val="00EA5657"/>
    <w:rsid w:val="00EA7259"/>
    <w:rsid w:val="00EF6025"/>
    <w:rsid w:val="00F17B0E"/>
    <w:rsid w:val="00F43041"/>
    <w:rsid w:val="00F609A6"/>
    <w:rsid w:val="00F614C1"/>
    <w:rsid w:val="00F819AF"/>
    <w:rsid w:val="00FA6B25"/>
    <w:rsid w:val="00FD4C0B"/>
    <w:rsid w:val="00FD56B0"/>
    <w:rsid w:val="00FF737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B69D68"/>
  <w15:docId w15:val="{DDBDBED4-F377-4C40-9545-D83AEBBF6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06770"/>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B1525"/>
    <w:pPr>
      <w:tabs>
        <w:tab w:val="center" w:pos="4819"/>
        <w:tab w:val="right" w:pos="9638"/>
      </w:tabs>
    </w:pPr>
  </w:style>
  <w:style w:type="character" w:customStyle="1" w:styleId="IntestazioneCarattere">
    <w:name w:val="Intestazione Carattere"/>
    <w:basedOn w:val="Carpredefinitoparagrafo"/>
    <w:link w:val="Intestazione"/>
    <w:uiPriority w:val="99"/>
    <w:rsid w:val="004B1525"/>
  </w:style>
  <w:style w:type="paragraph" w:styleId="Pidipagina">
    <w:name w:val="footer"/>
    <w:basedOn w:val="Normale"/>
    <w:link w:val="PidipaginaCarattere"/>
    <w:uiPriority w:val="99"/>
    <w:unhideWhenUsed/>
    <w:rsid w:val="004B1525"/>
    <w:pPr>
      <w:tabs>
        <w:tab w:val="center" w:pos="4819"/>
        <w:tab w:val="right" w:pos="9638"/>
      </w:tabs>
    </w:pPr>
  </w:style>
  <w:style w:type="character" w:customStyle="1" w:styleId="PidipaginaCarattere">
    <w:name w:val="Piè di pagina Carattere"/>
    <w:basedOn w:val="Carpredefinitoparagrafo"/>
    <w:link w:val="Pidipagina"/>
    <w:uiPriority w:val="99"/>
    <w:rsid w:val="004B1525"/>
  </w:style>
  <w:style w:type="paragraph" w:styleId="Paragrafoelenco">
    <w:name w:val="List Paragraph"/>
    <w:basedOn w:val="Normale"/>
    <w:uiPriority w:val="34"/>
    <w:qFormat/>
    <w:rsid w:val="00B036A8"/>
    <w:pPr>
      <w:ind w:left="720"/>
      <w:contextualSpacing/>
    </w:pPr>
  </w:style>
  <w:style w:type="table" w:styleId="Grigliatabella">
    <w:name w:val="Table Grid"/>
    <w:basedOn w:val="Tabellanormale"/>
    <w:uiPriority w:val="59"/>
    <w:rsid w:val="005A1D50"/>
    <w:rPr>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A1D50"/>
    <w:pPr>
      <w:autoSpaceDE w:val="0"/>
      <w:autoSpaceDN w:val="0"/>
      <w:adjustRightInd w:val="0"/>
    </w:pPr>
    <w:rPr>
      <w:rFonts w:ascii="Calibri" w:hAnsi="Calibri" w:cs="Calibri"/>
      <w:color w:val="000000"/>
      <w:lang w:val="en-GB" w:eastAsia="it-IT"/>
    </w:rPr>
  </w:style>
  <w:style w:type="character" w:styleId="Enfasicorsivo">
    <w:name w:val="Emphasis"/>
    <w:basedOn w:val="Carpredefinitoparagrafo"/>
    <w:uiPriority w:val="20"/>
    <w:qFormat/>
    <w:rsid w:val="00D1068D"/>
    <w:rPr>
      <w:i/>
      <w:iCs/>
    </w:rPr>
  </w:style>
  <w:style w:type="character" w:styleId="Enfasigrassetto">
    <w:name w:val="Strong"/>
    <w:basedOn w:val="Carpredefinitoparagrafo"/>
    <w:uiPriority w:val="22"/>
    <w:qFormat/>
    <w:rsid w:val="00D1068D"/>
    <w:rPr>
      <w:b/>
      <w:bCs/>
    </w:rPr>
  </w:style>
  <w:style w:type="paragraph" w:styleId="Testofumetto">
    <w:name w:val="Balloon Text"/>
    <w:basedOn w:val="Normale"/>
    <w:link w:val="TestofumettoCarattere"/>
    <w:uiPriority w:val="99"/>
    <w:semiHidden/>
    <w:unhideWhenUsed/>
    <w:rsid w:val="00F819AF"/>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F819AF"/>
    <w:rPr>
      <w:rFonts w:ascii="Lucida Grande" w:hAnsi="Lucida Grande" w:cs="Lucida Grande"/>
      <w:sz w:val="18"/>
      <w:szCs w:val="18"/>
    </w:rPr>
  </w:style>
  <w:style w:type="character" w:styleId="Collegamentoipertestuale">
    <w:name w:val="Hyperlink"/>
    <w:basedOn w:val="Carpredefinitoparagrafo"/>
    <w:uiPriority w:val="99"/>
    <w:unhideWhenUsed/>
    <w:rsid w:val="00D97F74"/>
    <w:rPr>
      <w:color w:val="0563C1" w:themeColor="hyperlink"/>
      <w:u w:val="single"/>
    </w:rPr>
  </w:style>
  <w:style w:type="character" w:customStyle="1" w:styleId="Menzionenonrisolta1">
    <w:name w:val="Menzione non risolta1"/>
    <w:basedOn w:val="Carpredefinitoparagrafo"/>
    <w:uiPriority w:val="99"/>
    <w:semiHidden/>
    <w:unhideWhenUsed/>
    <w:rsid w:val="00D97F74"/>
    <w:rPr>
      <w:color w:val="605E5C"/>
      <w:shd w:val="clear" w:color="auto" w:fill="E1DFDD"/>
    </w:rPr>
  </w:style>
  <w:style w:type="paragraph" w:styleId="Revisione">
    <w:name w:val="Revision"/>
    <w:hidden/>
    <w:uiPriority w:val="99"/>
    <w:semiHidden/>
    <w:rsid w:val="00C74F90"/>
  </w:style>
  <w:style w:type="character" w:styleId="Rimandocommento">
    <w:name w:val="annotation reference"/>
    <w:basedOn w:val="Carpredefinitoparagrafo"/>
    <w:uiPriority w:val="99"/>
    <w:semiHidden/>
    <w:unhideWhenUsed/>
    <w:rsid w:val="00C74F90"/>
    <w:rPr>
      <w:sz w:val="16"/>
      <w:szCs w:val="16"/>
    </w:rPr>
  </w:style>
  <w:style w:type="paragraph" w:styleId="Testocommento">
    <w:name w:val="annotation text"/>
    <w:basedOn w:val="Normale"/>
    <w:link w:val="TestocommentoCarattere"/>
    <w:uiPriority w:val="99"/>
    <w:unhideWhenUsed/>
    <w:rsid w:val="00C74F90"/>
    <w:rPr>
      <w:sz w:val="20"/>
      <w:szCs w:val="20"/>
    </w:rPr>
  </w:style>
  <w:style w:type="character" w:customStyle="1" w:styleId="TestocommentoCarattere">
    <w:name w:val="Testo commento Carattere"/>
    <w:basedOn w:val="Carpredefinitoparagrafo"/>
    <w:link w:val="Testocommento"/>
    <w:uiPriority w:val="99"/>
    <w:rsid w:val="00C74F90"/>
    <w:rPr>
      <w:sz w:val="20"/>
      <w:szCs w:val="20"/>
    </w:rPr>
  </w:style>
  <w:style w:type="paragraph" w:styleId="Soggettocommento">
    <w:name w:val="annotation subject"/>
    <w:basedOn w:val="Testocommento"/>
    <w:next w:val="Testocommento"/>
    <w:link w:val="SoggettocommentoCarattere"/>
    <w:uiPriority w:val="99"/>
    <w:semiHidden/>
    <w:unhideWhenUsed/>
    <w:rsid w:val="00C74F90"/>
    <w:rPr>
      <w:b/>
      <w:bCs/>
    </w:rPr>
  </w:style>
  <w:style w:type="character" w:customStyle="1" w:styleId="SoggettocommentoCarattere">
    <w:name w:val="Soggetto commento Carattere"/>
    <w:basedOn w:val="TestocommentoCarattere"/>
    <w:link w:val="Soggettocommento"/>
    <w:uiPriority w:val="99"/>
    <w:semiHidden/>
    <w:rsid w:val="00C74F90"/>
    <w:rPr>
      <w:b/>
      <w:bCs/>
      <w:sz w:val="20"/>
      <w:szCs w:val="20"/>
    </w:rPr>
  </w:style>
  <w:style w:type="paragraph" w:styleId="NormaleWeb">
    <w:name w:val="Normal (Web)"/>
    <w:basedOn w:val="Normale"/>
    <w:uiPriority w:val="99"/>
    <w:semiHidden/>
    <w:unhideWhenUsed/>
    <w:rsid w:val="00896EFD"/>
    <w:pPr>
      <w:spacing w:before="100" w:beforeAutospacing="1" w:after="100" w:afterAutospacing="1"/>
    </w:pPr>
    <w:rPr>
      <w:rFonts w:ascii="Times New Roman" w:eastAsia="Times New Roman" w:hAnsi="Times New Roman" w:cs="Times New Roman"/>
      <w:lang w:val="en-GB" w:eastAsia="en-GB"/>
    </w:rPr>
  </w:style>
  <w:style w:type="paragraph" w:styleId="Testonotaapidipagina">
    <w:name w:val="footnote text"/>
    <w:basedOn w:val="Normale"/>
    <w:link w:val="TestonotaapidipaginaCarattere"/>
    <w:uiPriority w:val="99"/>
    <w:semiHidden/>
    <w:unhideWhenUsed/>
    <w:rsid w:val="0082421D"/>
    <w:rPr>
      <w:rFonts w:ascii="Calibri" w:eastAsiaTheme="minorHAnsi" w:hAnsi="Calibri" w:cs="Calibr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82421D"/>
    <w:rPr>
      <w:rFonts w:ascii="Calibri" w:eastAsiaTheme="minorHAnsi" w:hAnsi="Calibri" w:cs="Calibri"/>
      <w:sz w:val="20"/>
      <w:szCs w:val="20"/>
      <w:lang w:eastAsia="en-US"/>
    </w:rPr>
  </w:style>
  <w:style w:type="character" w:styleId="Rimandonotaapidipagina">
    <w:name w:val="footnote reference"/>
    <w:basedOn w:val="Carpredefinitoparagrafo"/>
    <w:uiPriority w:val="99"/>
    <w:semiHidden/>
    <w:unhideWhenUsed/>
    <w:rsid w:val="0082421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766523">
      <w:bodyDiv w:val="1"/>
      <w:marLeft w:val="0"/>
      <w:marRight w:val="0"/>
      <w:marTop w:val="0"/>
      <w:marBottom w:val="0"/>
      <w:divBdr>
        <w:top w:val="none" w:sz="0" w:space="0" w:color="auto"/>
        <w:left w:val="none" w:sz="0" w:space="0" w:color="auto"/>
        <w:bottom w:val="none" w:sz="0" w:space="0" w:color="auto"/>
        <w:right w:val="none" w:sz="0" w:space="0" w:color="auto"/>
      </w:divBdr>
    </w:div>
    <w:div w:id="1360660959">
      <w:bodyDiv w:val="1"/>
      <w:marLeft w:val="0"/>
      <w:marRight w:val="0"/>
      <w:marTop w:val="0"/>
      <w:marBottom w:val="0"/>
      <w:divBdr>
        <w:top w:val="none" w:sz="0" w:space="0" w:color="auto"/>
        <w:left w:val="none" w:sz="0" w:space="0" w:color="auto"/>
        <w:bottom w:val="none" w:sz="0" w:space="0" w:color="auto"/>
        <w:right w:val="none" w:sz="0" w:space="0" w:color="auto"/>
      </w:divBdr>
    </w:div>
    <w:div w:id="1467238034">
      <w:bodyDiv w:val="1"/>
      <w:marLeft w:val="0"/>
      <w:marRight w:val="0"/>
      <w:marTop w:val="0"/>
      <w:marBottom w:val="0"/>
      <w:divBdr>
        <w:top w:val="none" w:sz="0" w:space="0" w:color="auto"/>
        <w:left w:val="none" w:sz="0" w:space="0" w:color="auto"/>
        <w:bottom w:val="none" w:sz="0" w:space="0" w:color="auto"/>
        <w:right w:val="none" w:sz="0" w:space="0" w:color="auto"/>
      </w:divBdr>
    </w:div>
    <w:div w:id="1548950744">
      <w:bodyDiv w:val="1"/>
      <w:marLeft w:val="0"/>
      <w:marRight w:val="0"/>
      <w:marTop w:val="0"/>
      <w:marBottom w:val="0"/>
      <w:divBdr>
        <w:top w:val="none" w:sz="0" w:space="0" w:color="auto"/>
        <w:left w:val="none" w:sz="0" w:space="0" w:color="auto"/>
        <w:bottom w:val="none" w:sz="0" w:space="0" w:color="auto"/>
        <w:right w:val="none" w:sz="0" w:space="0" w:color="auto"/>
      </w:divBdr>
      <w:divsChild>
        <w:div w:id="528839393">
          <w:marLeft w:val="0"/>
          <w:marRight w:val="0"/>
          <w:marTop w:val="0"/>
          <w:marBottom w:val="240"/>
          <w:divBdr>
            <w:top w:val="none" w:sz="0" w:space="0" w:color="auto"/>
            <w:left w:val="none" w:sz="0" w:space="0" w:color="auto"/>
            <w:bottom w:val="none" w:sz="0" w:space="0" w:color="auto"/>
            <w:right w:val="none" w:sz="0" w:space="0" w:color="auto"/>
          </w:divBdr>
        </w:div>
      </w:divsChild>
    </w:div>
    <w:div w:id="1673289238">
      <w:bodyDiv w:val="1"/>
      <w:marLeft w:val="0"/>
      <w:marRight w:val="0"/>
      <w:marTop w:val="0"/>
      <w:marBottom w:val="0"/>
      <w:divBdr>
        <w:top w:val="none" w:sz="0" w:space="0" w:color="auto"/>
        <w:left w:val="none" w:sz="0" w:space="0" w:color="auto"/>
        <w:bottom w:val="none" w:sz="0" w:space="0" w:color="auto"/>
        <w:right w:val="none" w:sz="0" w:space="0" w:color="auto"/>
      </w:divBdr>
    </w:div>
    <w:div w:id="1930308069">
      <w:bodyDiv w:val="1"/>
      <w:marLeft w:val="0"/>
      <w:marRight w:val="0"/>
      <w:marTop w:val="0"/>
      <w:marBottom w:val="0"/>
      <w:divBdr>
        <w:top w:val="none" w:sz="0" w:space="0" w:color="auto"/>
        <w:left w:val="none" w:sz="0" w:space="0" w:color="auto"/>
        <w:bottom w:val="none" w:sz="0" w:space="0" w:color="auto"/>
        <w:right w:val="none" w:sz="0" w:space="0" w:color="auto"/>
      </w:divBdr>
      <w:divsChild>
        <w:div w:id="1786466036">
          <w:marLeft w:val="0"/>
          <w:marRight w:val="0"/>
          <w:marTop w:val="0"/>
          <w:marBottom w:val="240"/>
          <w:divBdr>
            <w:top w:val="none" w:sz="0" w:space="0" w:color="auto"/>
            <w:left w:val="none" w:sz="0" w:space="0" w:color="auto"/>
            <w:bottom w:val="none" w:sz="0" w:space="0" w:color="auto"/>
            <w:right w:val="none" w:sz="0" w:space="0" w:color="auto"/>
          </w:divBdr>
        </w:div>
      </w:divsChild>
    </w:div>
    <w:div w:id="1932272038">
      <w:bodyDiv w:val="1"/>
      <w:marLeft w:val="0"/>
      <w:marRight w:val="0"/>
      <w:marTop w:val="0"/>
      <w:marBottom w:val="0"/>
      <w:divBdr>
        <w:top w:val="none" w:sz="0" w:space="0" w:color="auto"/>
        <w:left w:val="none" w:sz="0" w:space="0" w:color="auto"/>
        <w:bottom w:val="none" w:sz="0" w:space="0" w:color="auto"/>
        <w:right w:val="none" w:sz="0" w:space="0" w:color="auto"/>
      </w:divBdr>
      <w:divsChild>
        <w:div w:id="20339157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sv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s>
</file>

<file path=word/_rels/footer1.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2.emf"/><Relationship Id="rId1" Type="http://schemas.openxmlformats.org/officeDocument/2006/relationships/image" Target="media/image11.png"/><Relationship Id="rId5" Type="http://schemas.openxmlformats.org/officeDocument/2006/relationships/image" Target="media/image15.emf"/><Relationship Id="rId4"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FA25E-BD96-45B7-B194-8E86B0039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1683</Words>
  <Characters>9596</Characters>
  <Application>Microsoft Office Word</Application>
  <DocSecurity>0</DocSecurity>
  <Lines>79</Lines>
  <Paragraphs>22</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11257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Gruppo Atomix</dc:creator>
  <cp:lastModifiedBy>KF44992</cp:lastModifiedBy>
  <cp:revision>2</cp:revision>
  <dcterms:created xsi:type="dcterms:W3CDTF">2024-02-14T15:27:00Z</dcterms:created>
  <dcterms:modified xsi:type="dcterms:W3CDTF">2024-02-14T15:27:00Z</dcterms:modified>
</cp:coreProperties>
</file>